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7531" w14:textId="5E13BE63" w:rsidR="000058E4" w:rsidRDefault="000058E4" w:rsidP="000058E4">
      <w:pPr>
        <w:pStyle w:val="BW1Standard"/>
        <w:rPr>
          <w:b/>
        </w:rPr>
      </w:pPr>
      <w:r>
        <w:rPr>
          <w:b/>
        </w:rPr>
        <w:t xml:space="preserve">PRAXISLEITFADEN </w:t>
      </w:r>
      <w:r w:rsidR="009345FF">
        <w:rPr>
          <w:b/>
        </w:rPr>
        <w:t>„</w:t>
      </w:r>
      <w:r>
        <w:rPr>
          <w:b/>
        </w:rPr>
        <w:t xml:space="preserve">VERFAHRENSSCHRITTE </w:t>
      </w:r>
      <w:r w:rsidR="00C76486">
        <w:rPr>
          <w:b/>
        </w:rPr>
        <w:t>IN</w:t>
      </w:r>
      <w:r w:rsidR="009345FF">
        <w:rPr>
          <w:b/>
        </w:rPr>
        <w:t xml:space="preserve"> GENEHMIGUNGSVERFAHREN VON </w:t>
      </w:r>
      <w:r w:rsidR="006668D4">
        <w:rPr>
          <w:b/>
        </w:rPr>
        <w:t>WINDENERGIEANLAGEN</w:t>
      </w:r>
      <w:r w:rsidR="00B20689">
        <w:rPr>
          <w:b/>
        </w:rPr>
        <w:t xml:space="preserve"> (Stand: </w:t>
      </w:r>
      <w:r w:rsidR="00772067">
        <w:rPr>
          <w:b/>
        </w:rPr>
        <w:t>Mai</w:t>
      </w:r>
      <w:r w:rsidR="008314A5">
        <w:rPr>
          <w:b/>
        </w:rPr>
        <w:t xml:space="preserve"> </w:t>
      </w:r>
      <w:r w:rsidR="00CB6EBA">
        <w:rPr>
          <w:b/>
        </w:rPr>
        <w:t>2026</w:t>
      </w:r>
      <w:r w:rsidR="00B20689">
        <w:rPr>
          <w:b/>
        </w:rPr>
        <w:t>)</w:t>
      </w:r>
      <w:r w:rsidR="009345FF">
        <w:rPr>
          <w:b/>
        </w:rPr>
        <w:t>“</w:t>
      </w:r>
    </w:p>
    <w:p w14:paraId="4A093BCB" w14:textId="77777777" w:rsidR="000058E4" w:rsidRDefault="000058E4" w:rsidP="00130E94">
      <w:pPr>
        <w:pStyle w:val="UMberschrift1numArial-fett-12pt"/>
      </w:pPr>
      <w:r>
        <w:t>Einleitung</w:t>
      </w:r>
      <w:r w:rsidR="009345FF">
        <w:t xml:space="preserve"> und Erläuterungen zum </w:t>
      </w:r>
      <w:r w:rsidR="003A57F7">
        <w:t>vorliegenden Leitfaden</w:t>
      </w:r>
    </w:p>
    <w:p w14:paraId="5F47C43E" w14:textId="77777777" w:rsidR="004F29CE" w:rsidRPr="0075567C" w:rsidRDefault="00D22C71" w:rsidP="00130E94">
      <w:pPr>
        <w:pStyle w:val="UMberschrift2num-Arial-12pt"/>
      </w:pPr>
      <w:r w:rsidRPr="004F29CE">
        <w:t>Einleitung</w:t>
      </w:r>
    </w:p>
    <w:p w14:paraId="3F79476C" w14:textId="77777777" w:rsidR="00401945" w:rsidRDefault="00401945" w:rsidP="004F29CE">
      <w:pPr>
        <w:pStyle w:val="BW1Standard"/>
      </w:pPr>
    </w:p>
    <w:p w14:paraId="5F407522" w14:textId="7F461893" w:rsidR="004F29CE" w:rsidRDefault="004F29CE" w:rsidP="004F29CE">
      <w:pPr>
        <w:pStyle w:val="BW1Standard"/>
      </w:pPr>
      <w:r w:rsidRPr="005D70B3">
        <w:t xml:space="preserve">Dieser Praxisleitfaden </w:t>
      </w:r>
      <w:r w:rsidR="00285E05">
        <w:t xml:space="preserve">ist </w:t>
      </w:r>
      <w:r>
        <w:t>ein Baustein zur Optimierung und Vereinheitlichung des Ablaufs der Genehmigungsverfahren von Windenergieanlagen</w:t>
      </w:r>
      <w:r w:rsidR="00401945">
        <w:t xml:space="preserve"> (WEA)</w:t>
      </w:r>
      <w:r w:rsidR="002C2ACB" w:rsidRPr="002C2ACB">
        <w:t xml:space="preserve"> </w:t>
      </w:r>
      <w:r w:rsidR="002C2ACB">
        <w:t>nach dem Bundes-Immissionsschutzgesetz (BImSchG)</w:t>
      </w:r>
      <w:r>
        <w:t xml:space="preserve">. Dabei soll das Verfahrensmanagement verbessert und </w:t>
      </w:r>
      <w:r w:rsidR="00E81CA7">
        <w:t xml:space="preserve">eine </w:t>
      </w:r>
      <w:r>
        <w:t xml:space="preserve">höhere Standardisierung erreicht werden. </w:t>
      </w:r>
      <w:r w:rsidR="00E81CA7">
        <w:t xml:space="preserve">Zielgruppe des Leitfadens sind die Genehmigungsbehörden, aber auch </w:t>
      </w:r>
      <w:r w:rsidR="001A3CD2">
        <w:t>Vorhabenträger</w:t>
      </w:r>
      <w:r w:rsidR="00E81CA7">
        <w:t xml:space="preserve"> und Träger öffentlicher Belange</w:t>
      </w:r>
      <w:r w:rsidR="002D7958">
        <w:t xml:space="preserve"> (</w:t>
      </w:r>
      <w:proofErr w:type="spellStart"/>
      <w:r w:rsidR="002D7958">
        <w:t>TöB</w:t>
      </w:r>
      <w:proofErr w:type="spellEnd"/>
      <w:r w:rsidR="002D7958">
        <w:t>)</w:t>
      </w:r>
      <w:r w:rsidR="00E81CA7">
        <w:t xml:space="preserve">. </w:t>
      </w:r>
    </w:p>
    <w:p w14:paraId="46DA87CC" w14:textId="77777777" w:rsidR="004F29CE" w:rsidRDefault="004F29CE" w:rsidP="004F29CE">
      <w:pPr>
        <w:pStyle w:val="BW1Standard"/>
      </w:pPr>
    </w:p>
    <w:p w14:paraId="4A1B56EA" w14:textId="09E74EE8" w:rsidR="00B72D5E" w:rsidRDefault="004F29CE" w:rsidP="004F29CE">
      <w:pPr>
        <w:pStyle w:val="BW1Standard"/>
      </w:pPr>
      <w:r>
        <w:t>Der Praxisleitfaden soll dabei den wichtigen und umfangreichen Leitfaden „</w:t>
      </w:r>
      <w:hyperlink r:id="rId9" w:history="1">
        <w:r w:rsidRPr="007C5596">
          <w:rPr>
            <w:rStyle w:val="Hyperlink"/>
          </w:rPr>
          <w:t>Genehmigungs- und Anzeigeverfahren nach dem Bundes-Immissionsschutzgesetz</w:t>
        </w:r>
      </w:hyperlink>
      <w:r>
        <w:t>“ nicht ersetzen, sondern ergänzt diesen vielmehr im Hinblick auf die speziellen Anforderungen und Herausforderungen bei der Windkraft. Der Leitfaden ist als „</w:t>
      </w:r>
      <w:proofErr w:type="spellStart"/>
      <w:r>
        <w:t>living</w:t>
      </w:r>
      <w:proofErr w:type="spellEnd"/>
      <w:r>
        <w:t xml:space="preserve"> </w:t>
      </w:r>
      <w:proofErr w:type="spellStart"/>
      <w:r>
        <w:t>Document</w:t>
      </w:r>
      <w:proofErr w:type="spellEnd"/>
      <w:r>
        <w:t xml:space="preserve">“ zu sehen, der durch aktuelle Praxiserfahrungen regelmäßig weiter optimiert werden kann und soll. Diesen Prozess begleiten die Stabsstellen Energiewende, Windenergie und Klimaschutz (StEWK) bei den Regierungspräsidien. </w:t>
      </w:r>
    </w:p>
    <w:p w14:paraId="6E17FAFF" w14:textId="77777777" w:rsidR="00437BD3" w:rsidRDefault="00437BD3" w:rsidP="004F29CE">
      <w:pPr>
        <w:pStyle w:val="BW1Standard"/>
      </w:pPr>
    </w:p>
    <w:p w14:paraId="39907E88" w14:textId="0AF87836" w:rsidR="002C516D" w:rsidRDefault="002C516D" w:rsidP="00437BD3">
      <w:pPr>
        <w:pStyle w:val="BW1Standard"/>
      </w:pPr>
      <w:r>
        <w:t xml:space="preserve">Im </w:t>
      </w:r>
      <w:hyperlink r:id="rId10" w:history="1">
        <w:r w:rsidRPr="002C516D">
          <w:rPr>
            <w:rStyle w:val="Hyperlink"/>
          </w:rPr>
          <w:t>Themenportal Windenergie der Gewerbeaufsicht</w:t>
        </w:r>
      </w:hyperlink>
      <w:r>
        <w:t xml:space="preserve"> finden sich weitere Vollzugsempfehlungen, Schreiben oder Hinweise im Zusammenhang mit den Genehmigungsverfahren von Windenergieanlagen. </w:t>
      </w:r>
      <w:r w:rsidR="00BD2DBF">
        <w:t xml:space="preserve">Diese sind nach Fachgebieten sortiert und ergänzen den vorliegenden Praxisleitfaden. </w:t>
      </w:r>
    </w:p>
    <w:p w14:paraId="5526F541" w14:textId="77777777" w:rsidR="002C516D" w:rsidRDefault="002C516D" w:rsidP="00437BD3">
      <w:pPr>
        <w:pStyle w:val="BW1Standard"/>
      </w:pPr>
    </w:p>
    <w:p w14:paraId="45F1EC6E" w14:textId="5A1570B1" w:rsidR="00437BD3" w:rsidRPr="00EA1D51" w:rsidRDefault="009E4830" w:rsidP="00437BD3">
      <w:pPr>
        <w:pStyle w:val="BW1Standard"/>
        <w:rPr>
          <w:color w:val="0563C1" w:themeColor="hyperlink"/>
          <w:u w:val="single"/>
        </w:rPr>
      </w:pPr>
      <w:r>
        <w:t>Die Bund/Länder-Arbeitsgemeinschaft Immissionsschutz (LAI) erarbeitet regelmäßig Hinweise und Vollzugsempfehlungen zu immissionsschutzrechtlichen Themen. Sie werden auf der</w:t>
      </w:r>
      <w:r w:rsidR="00EA1D51">
        <w:t xml:space="preserve"> </w:t>
      </w:r>
      <w:hyperlink r:id="rId11" w:history="1">
        <w:r w:rsidR="00EA1D51" w:rsidRPr="00EA1D51">
          <w:rPr>
            <w:rStyle w:val="Hyperlink"/>
          </w:rPr>
          <w:t>LAI-Homepage</w:t>
        </w:r>
      </w:hyperlink>
      <w:r w:rsidR="00EA1D51">
        <w:t xml:space="preserve"> </w:t>
      </w:r>
      <w:r>
        <w:t xml:space="preserve">veröffentlicht. Dort finden sich insbesondere Vollzugshinweise zur BImSchG-Novelle 2024 sowie zur Vollständigkeitsprüfung und zum Nachreichen von Unterlagen im Genehmigungsverfahren. </w:t>
      </w:r>
    </w:p>
    <w:p w14:paraId="126C6B2E" w14:textId="77777777" w:rsidR="00C80792" w:rsidRDefault="00C80792" w:rsidP="000058E4">
      <w:pPr>
        <w:pStyle w:val="BW1Standard"/>
        <w:rPr>
          <w:b/>
        </w:rPr>
      </w:pPr>
    </w:p>
    <w:p w14:paraId="215A0D33" w14:textId="77777777" w:rsidR="006B63D3" w:rsidRDefault="006B63D3" w:rsidP="000058E4">
      <w:pPr>
        <w:pStyle w:val="BW1Standard"/>
        <w:rPr>
          <w:b/>
        </w:rPr>
      </w:pPr>
    </w:p>
    <w:p w14:paraId="645874A3" w14:textId="77777777" w:rsidR="009345FF" w:rsidRPr="009345FF" w:rsidRDefault="009345FF" w:rsidP="00130E94">
      <w:pPr>
        <w:pStyle w:val="UMberschrift2num-Arial-12pt"/>
      </w:pPr>
      <w:r w:rsidRPr="009345FF">
        <w:lastRenderedPageBreak/>
        <w:t>Erläuterungen zur Anwendung des Leitfadens</w:t>
      </w:r>
    </w:p>
    <w:p w14:paraId="6C7B50C2" w14:textId="77777777" w:rsidR="00EA1D51" w:rsidRDefault="00EA1D51" w:rsidP="009345FF">
      <w:pPr>
        <w:spacing w:line="360" w:lineRule="atLeast"/>
        <w:jc w:val="both"/>
        <w:rPr>
          <w:rFonts w:cs="Arial"/>
          <w:szCs w:val="24"/>
        </w:rPr>
      </w:pPr>
    </w:p>
    <w:p w14:paraId="307F8282" w14:textId="20EAD85E" w:rsidR="009345FF" w:rsidRDefault="009345FF" w:rsidP="009345FF">
      <w:pPr>
        <w:spacing w:line="360" w:lineRule="atLeast"/>
        <w:jc w:val="both"/>
        <w:rPr>
          <w:rFonts w:cs="Arial"/>
          <w:szCs w:val="24"/>
        </w:rPr>
      </w:pPr>
      <w:r>
        <w:rPr>
          <w:rFonts w:cs="Arial"/>
          <w:szCs w:val="24"/>
        </w:rPr>
        <w:t>Der Praxisleitfaden besteht aus zwei Teilen sowie Verweisen auf weitere Hintergrundpapiere wie Checklisten, Leitfäden, Mustertexte etc. Der Hauptteil ist die eigentliche Verfahrensanweisung</w:t>
      </w:r>
      <w:r w:rsidR="00611221" w:rsidRPr="00611221">
        <w:rPr>
          <w:rFonts w:cs="Arial"/>
          <w:szCs w:val="24"/>
        </w:rPr>
        <w:t xml:space="preserve"> </w:t>
      </w:r>
      <w:r w:rsidR="00611221">
        <w:rPr>
          <w:rFonts w:cs="Arial"/>
          <w:szCs w:val="24"/>
        </w:rPr>
        <w:t xml:space="preserve">für einen optimalen Ablauf des Genehmigungsverfahrens für </w:t>
      </w:r>
      <w:r w:rsidR="00401945">
        <w:rPr>
          <w:rFonts w:cs="Arial"/>
          <w:szCs w:val="24"/>
        </w:rPr>
        <w:t xml:space="preserve">WEA </w:t>
      </w:r>
      <w:r w:rsidR="00611221">
        <w:rPr>
          <w:rFonts w:cs="Arial"/>
          <w:szCs w:val="24"/>
        </w:rPr>
        <w:t xml:space="preserve">vom ersten Kontakt zwischen </w:t>
      </w:r>
      <w:r w:rsidR="004E4BDF">
        <w:rPr>
          <w:rFonts w:cs="Arial"/>
          <w:szCs w:val="24"/>
        </w:rPr>
        <w:t xml:space="preserve">Vorhabenträger </w:t>
      </w:r>
      <w:r w:rsidR="00611221">
        <w:rPr>
          <w:rFonts w:cs="Arial"/>
          <w:szCs w:val="24"/>
        </w:rPr>
        <w:t>und Genehmigungsbehörde bis zum Erteilen der immissionsschutzrechtlichen Genehmigung</w:t>
      </w:r>
      <w:r>
        <w:rPr>
          <w:rFonts w:cs="Arial"/>
          <w:szCs w:val="24"/>
        </w:rPr>
        <w:t xml:space="preserve">, die in knappen Hinweisen durch die wichtigsten Schritte – von der Planung über das eigentliche Genehmigungsverfahren bis hin zur Genehmigung – führt. </w:t>
      </w:r>
      <w:r w:rsidR="00046E9C">
        <w:rPr>
          <w:rFonts w:cs="Arial"/>
          <w:szCs w:val="24"/>
        </w:rPr>
        <w:t xml:space="preserve">Für ein stringentes Genehmigungsverfahren sind insbesondere die notwendigen Abstimmungen vor Antragstellung und die Durchführung einer fachlich gut vorbereiteten Vorantragskonferenz (Kapitel 4) entscheidend. Darauf legt der Leitfaden ein besonderes Augenmerk. </w:t>
      </w:r>
    </w:p>
    <w:p w14:paraId="26BE8148" w14:textId="77777777" w:rsidR="00611221" w:rsidRDefault="00611221" w:rsidP="009345FF">
      <w:pPr>
        <w:spacing w:line="360" w:lineRule="atLeast"/>
        <w:jc w:val="both"/>
        <w:rPr>
          <w:rFonts w:cs="Arial"/>
          <w:szCs w:val="24"/>
        </w:rPr>
      </w:pPr>
    </w:p>
    <w:p w14:paraId="757268A4" w14:textId="0E61848A" w:rsidR="00E43B3C" w:rsidRDefault="009345FF" w:rsidP="009345FF">
      <w:pPr>
        <w:spacing w:line="360" w:lineRule="atLeast"/>
        <w:jc w:val="both"/>
        <w:rPr>
          <w:rFonts w:cs="Arial"/>
          <w:szCs w:val="24"/>
        </w:rPr>
      </w:pPr>
      <w:r>
        <w:rPr>
          <w:rFonts w:cs="Arial"/>
          <w:szCs w:val="24"/>
        </w:rPr>
        <w:t xml:space="preserve">In der Verfahrensanweisung sind einzelne Begrifflichkeiten farblich hervorgehoben. Diesen Aspekten kommt für die erfolgreiche und effiziente Abwicklung des Genehmigungsverfahrens besondere Bedeutung zu. Sie werden daher im </w:t>
      </w:r>
      <w:r w:rsidR="00611221">
        <w:rPr>
          <w:rFonts w:cs="Arial"/>
          <w:szCs w:val="24"/>
        </w:rPr>
        <w:t>zweiten Teil</w:t>
      </w:r>
      <w:r w:rsidR="00611221" w:rsidRPr="00611221">
        <w:rPr>
          <w:rFonts w:cs="Arial"/>
          <w:szCs w:val="24"/>
        </w:rPr>
        <w:t xml:space="preserve"> </w:t>
      </w:r>
      <w:r w:rsidR="00611221">
        <w:rPr>
          <w:rFonts w:cs="Arial"/>
          <w:szCs w:val="24"/>
        </w:rPr>
        <w:t xml:space="preserve">des Praxisleitfadens, den Erläuterungen, </w:t>
      </w:r>
      <w:r>
        <w:rPr>
          <w:rFonts w:cs="Arial"/>
          <w:szCs w:val="24"/>
        </w:rPr>
        <w:t>mit ausführlicheren Informationen hinterlegt.</w:t>
      </w:r>
      <w:r w:rsidR="00611221">
        <w:rPr>
          <w:rFonts w:cs="Arial"/>
          <w:szCs w:val="24"/>
        </w:rPr>
        <w:t xml:space="preserve"> Diese können über Anklicken des farblich gekennzeichneten Begriffs direkt abgerufen werden.</w:t>
      </w:r>
    </w:p>
    <w:p w14:paraId="4FD4A9B3" w14:textId="6A8D1F51" w:rsidR="00F3316C" w:rsidRDefault="00E46551" w:rsidP="00130E94">
      <w:pPr>
        <w:pStyle w:val="UMberschrift1numArial-fett-12pt"/>
      </w:pPr>
      <w:r>
        <w:t xml:space="preserve">Den </w:t>
      </w:r>
      <w:r w:rsidR="00F3316C" w:rsidRPr="0016672A">
        <w:t>Gesamtprozess begleitende Maßnahmen</w:t>
      </w:r>
      <w:r w:rsidR="00E43B3C">
        <w:t xml:space="preserve"> </w:t>
      </w:r>
    </w:p>
    <w:p w14:paraId="2C7F068E" w14:textId="77777777" w:rsidR="000715D7" w:rsidRDefault="001739C9" w:rsidP="00130E94">
      <w:pPr>
        <w:pStyle w:val="UMberschrift2num-Arial-12pt"/>
      </w:pPr>
      <w:r>
        <w:t>P</w:t>
      </w:r>
      <w:r w:rsidR="000715D7" w:rsidRPr="007C59C0">
        <w:t>r</w:t>
      </w:r>
      <w:r>
        <w:t>ozessorientiertes</w:t>
      </w:r>
      <w:r w:rsidR="000715D7" w:rsidRPr="007C59C0">
        <w:t xml:space="preserve"> Projekt- und Zeitmanagement</w:t>
      </w:r>
    </w:p>
    <w:p w14:paraId="1BFDC16A" w14:textId="77777777" w:rsidR="00EA1D51" w:rsidRDefault="00EA1D51" w:rsidP="00CC0CFE">
      <w:pPr>
        <w:spacing w:line="360" w:lineRule="atLeast"/>
        <w:jc w:val="both"/>
        <w:rPr>
          <w:rFonts w:cs="Arial"/>
          <w:szCs w:val="24"/>
        </w:rPr>
      </w:pPr>
    </w:p>
    <w:p w14:paraId="55AC2FAE" w14:textId="51D60EAC" w:rsidR="00CC0CFE" w:rsidRPr="007C06DC" w:rsidRDefault="00CC0CFE" w:rsidP="00CC0CFE">
      <w:pPr>
        <w:spacing w:line="360" w:lineRule="atLeast"/>
        <w:jc w:val="both"/>
        <w:rPr>
          <w:rFonts w:cs="Arial"/>
          <w:bCs/>
          <w:szCs w:val="24"/>
        </w:rPr>
      </w:pPr>
      <w:r w:rsidRPr="00F95A10">
        <w:rPr>
          <w:rFonts w:cs="Arial"/>
          <w:szCs w:val="24"/>
        </w:rPr>
        <w:t xml:space="preserve">Für den </w:t>
      </w:r>
      <w:r>
        <w:rPr>
          <w:rFonts w:cs="Arial"/>
          <w:szCs w:val="24"/>
        </w:rPr>
        <w:t>Vorhabenträger</w:t>
      </w:r>
      <w:r w:rsidRPr="00F95A10">
        <w:rPr>
          <w:rFonts w:cs="Arial"/>
          <w:szCs w:val="24"/>
        </w:rPr>
        <w:t xml:space="preserve"> stellt der anvisierte Zeitpunkt für die</w:t>
      </w:r>
      <w:r>
        <w:rPr>
          <w:rFonts w:cs="Arial"/>
          <w:szCs w:val="24"/>
        </w:rPr>
        <w:t xml:space="preserve"> Erteilung der Genehmigung</w:t>
      </w:r>
      <w:r w:rsidRPr="00F95A10">
        <w:rPr>
          <w:rFonts w:cs="Arial"/>
          <w:szCs w:val="24"/>
        </w:rPr>
        <w:t xml:space="preserve"> den wichtigsten Aspekt im </w:t>
      </w:r>
      <w:r>
        <w:rPr>
          <w:rFonts w:cs="Arial"/>
          <w:szCs w:val="24"/>
        </w:rPr>
        <w:t>V</w:t>
      </w:r>
      <w:r w:rsidRPr="00F95A10">
        <w:rPr>
          <w:rFonts w:cs="Arial"/>
          <w:szCs w:val="24"/>
        </w:rPr>
        <w:t xml:space="preserve">erfahren dar. </w:t>
      </w:r>
      <w:r w:rsidRPr="00F95A10">
        <w:rPr>
          <w:rFonts w:cs="Arial"/>
          <w:bCs/>
          <w:szCs w:val="24"/>
        </w:rPr>
        <w:t xml:space="preserve">Zeitbestimmend in Genehmigungsverfahren für </w:t>
      </w:r>
      <w:r>
        <w:rPr>
          <w:rFonts w:cs="Arial"/>
          <w:bCs/>
          <w:szCs w:val="24"/>
        </w:rPr>
        <w:t>WEA</w:t>
      </w:r>
      <w:r w:rsidRPr="00F95A10">
        <w:rPr>
          <w:rFonts w:cs="Arial"/>
          <w:bCs/>
          <w:szCs w:val="24"/>
        </w:rPr>
        <w:t xml:space="preserve"> </w:t>
      </w:r>
      <w:r>
        <w:rPr>
          <w:rFonts w:cs="Arial"/>
          <w:bCs/>
          <w:szCs w:val="24"/>
        </w:rPr>
        <w:t>sind</w:t>
      </w:r>
      <w:r w:rsidRPr="00F95A10">
        <w:rPr>
          <w:rFonts w:cs="Arial"/>
          <w:bCs/>
          <w:szCs w:val="24"/>
        </w:rPr>
        <w:t xml:space="preserve"> dabei</w:t>
      </w:r>
      <w:r>
        <w:rPr>
          <w:rFonts w:cs="Arial"/>
          <w:bCs/>
          <w:szCs w:val="24"/>
        </w:rPr>
        <w:t xml:space="preserve"> neben den Fristen des Bundes-Immissionsschutzgesetzes (BImSchG) und der Verordnung über das Genehmigungsverfahren (9. BImSchV)</w:t>
      </w:r>
      <w:r w:rsidRPr="00F95A10">
        <w:rPr>
          <w:rFonts w:cs="Arial"/>
          <w:bCs/>
          <w:szCs w:val="24"/>
        </w:rPr>
        <w:t xml:space="preserve"> </w:t>
      </w:r>
      <w:r>
        <w:rPr>
          <w:rFonts w:cs="Arial"/>
          <w:bCs/>
          <w:szCs w:val="24"/>
        </w:rPr>
        <w:t>zumeist der erforderliche</w:t>
      </w:r>
      <w:r w:rsidRPr="00F95A10">
        <w:rPr>
          <w:rFonts w:cs="Arial"/>
          <w:bCs/>
          <w:szCs w:val="24"/>
        </w:rPr>
        <w:t xml:space="preserve"> </w:t>
      </w:r>
      <w:r>
        <w:rPr>
          <w:rFonts w:cs="Arial"/>
          <w:bCs/>
          <w:szCs w:val="24"/>
        </w:rPr>
        <w:t>Abstimmungsprozess</w:t>
      </w:r>
      <w:r w:rsidRPr="00F95A10">
        <w:rPr>
          <w:rFonts w:cs="Arial"/>
          <w:bCs/>
          <w:szCs w:val="24"/>
        </w:rPr>
        <w:t xml:space="preserve"> </w:t>
      </w:r>
      <w:r>
        <w:rPr>
          <w:rFonts w:cs="Arial"/>
          <w:bCs/>
          <w:szCs w:val="24"/>
        </w:rPr>
        <w:t>vor Antrag</w:t>
      </w:r>
      <w:r w:rsidRPr="00F95A10">
        <w:rPr>
          <w:rFonts w:cs="Arial"/>
          <w:bCs/>
          <w:szCs w:val="24"/>
        </w:rPr>
        <w:t>stellung</w:t>
      </w:r>
      <w:r>
        <w:rPr>
          <w:rFonts w:cs="Arial"/>
          <w:bCs/>
          <w:szCs w:val="24"/>
        </w:rPr>
        <w:t>.</w:t>
      </w:r>
      <w:r w:rsidRPr="00F95A10">
        <w:rPr>
          <w:rFonts w:cs="Arial"/>
          <w:bCs/>
          <w:szCs w:val="24"/>
        </w:rPr>
        <w:t xml:space="preserve"> </w:t>
      </w:r>
      <w:r>
        <w:rPr>
          <w:rFonts w:cs="Arial"/>
          <w:bCs/>
          <w:szCs w:val="24"/>
        </w:rPr>
        <w:t xml:space="preserve">Manche im Zusammenhang mit dem Genehmigungsverfahren erforderlichen Untersuchungen/Nachweise sind an äußere Rahmenbedingungen geknüpft (z. B. Untersuchungen von Flora und Fauna zu bestimmten Jahreszeiten), die es zu beachten und am besten schon ganz </w:t>
      </w:r>
      <w:r w:rsidRPr="007C06DC">
        <w:rPr>
          <w:rFonts w:cs="Arial"/>
          <w:bCs/>
          <w:szCs w:val="24"/>
        </w:rPr>
        <w:t>zu Anfang der Projektplanung optimal in den Zeitplan einzubinden gilt.</w:t>
      </w:r>
    </w:p>
    <w:p w14:paraId="49AE0F1C" w14:textId="77777777" w:rsidR="00CC0CFE" w:rsidRPr="007C06DC" w:rsidRDefault="00CC0CFE" w:rsidP="00CC0CFE">
      <w:pPr>
        <w:spacing w:line="360" w:lineRule="atLeast"/>
        <w:jc w:val="both"/>
        <w:rPr>
          <w:rFonts w:cs="Arial"/>
          <w:bCs/>
          <w:szCs w:val="24"/>
        </w:rPr>
      </w:pPr>
    </w:p>
    <w:p w14:paraId="35868A67" w14:textId="4320A9BD" w:rsidR="00CC0CFE" w:rsidRPr="007C06DC" w:rsidRDefault="00CC0CFE" w:rsidP="00CC0CFE">
      <w:pPr>
        <w:spacing w:line="360" w:lineRule="atLeast"/>
        <w:jc w:val="both"/>
        <w:rPr>
          <w:rFonts w:cs="Arial"/>
          <w:szCs w:val="24"/>
        </w:rPr>
      </w:pPr>
      <w:r w:rsidRPr="007C06DC">
        <w:rPr>
          <w:rFonts w:cs="Arial"/>
          <w:bCs/>
          <w:szCs w:val="24"/>
        </w:rPr>
        <w:t xml:space="preserve">Damit spätere Frustrationen vermieden werden, soll frühzeitig eine realistische Zeitplanung zwischen Antragsteller und Genehmigungsbehörde abgestimmt werden (s. auch </w:t>
      </w:r>
      <w:r w:rsidRPr="007C06DC">
        <w:rPr>
          <w:rFonts w:cs="Arial"/>
          <w:bCs/>
          <w:szCs w:val="24"/>
        </w:rPr>
        <w:lastRenderedPageBreak/>
        <w:t xml:space="preserve">§ 2 Abs. 2 Satz 1 der 9. BImSchV). Dazu ist es </w:t>
      </w:r>
      <w:r w:rsidRPr="007C06DC">
        <w:rPr>
          <w:rFonts w:cs="Arial"/>
          <w:szCs w:val="24"/>
        </w:rPr>
        <w:t xml:space="preserve">hilfreich, den Genehmigungsprozess in Teilschritte zu gliedern und </w:t>
      </w:r>
      <w:r>
        <w:rPr>
          <w:rFonts w:cs="Arial"/>
          <w:szCs w:val="24"/>
        </w:rPr>
        <w:t>m</w:t>
      </w:r>
      <w:r w:rsidRPr="007C06DC">
        <w:rPr>
          <w:rFonts w:cs="Arial"/>
          <w:szCs w:val="24"/>
        </w:rPr>
        <w:t>ithilfe von Projektplänen d</w:t>
      </w:r>
      <w:r>
        <w:rPr>
          <w:rFonts w:cs="Arial"/>
          <w:szCs w:val="24"/>
        </w:rPr>
        <w:t>en</w:t>
      </w:r>
      <w:r w:rsidRPr="007C06DC">
        <w:rPr>
          <w:rFonts w:cs="Arial"/>
          <w:szCs w:val="24"/>
        </w:rPr>
        <w:t xml:space="preserve"> Prozess</w:t>
      </w:r>
      <w:r>
        <w:rPr>
          <w:rFonts w:cs="Arial"/>
          <w:szCs w:val="24"/>
        </w:rPr>
        <w:t xml:space="preserve"> zu</w:t>
      </w:r>
      <w:r w:rsidRPr="007C06DC">
        <w:rPr>
          <w:rFonts w:cs="Arial"/>
          <w:szCs w:val="24"/>
        </w:rPr>
        <w:t xml:space="preserve"> strukturier</w:t>
      </w:r>
      <w:r w:rsidR="00B553EA">
        <w:rPr>
          <w:rFonts w:cs="Arial"/>
          <w:szCs w:val="24"/>
        </w:rPr>
        <w:t>en</w:t>
      </w:r>
      <w:r w:rsidRPr="007C06DC">
        <w:rPr>
          <w:rFonts w:cs="Arial"/>
          <w:szCs w:val="24"/>
        </w:rPr>
        <w:t xml:space="preserve"> </w:t>
      </w:r>
      <w:r>
        <w:rPr>
          <w:rFonts w:cs="Arial"/>
          <w:szCs w:val="24"/>
        </w:rPr>
        <w:t>sowie</w:t>
      </w:r>
      <w:r w:rsidRPr="007C06DC">
        <w:rPr>
          <w:rFonts w:cs="Arial"/>
          <w:szCs w:val="24"/>
        </w:rPr>
        <w:t xml:space="preserve"> anschaulich</w:t>
      </w:r>
      <w:r>
        <w:rPr>
          <w:rFonts w:cs="Arial"/>
          <w:szCs w:val="24"/>
        </w:rPr>
        <w:t xml:space="preserve"> zu</w:t>
      </w:r>
      <w:r w:rsidRPr="007C06DC">
        <w:rPr>
          <w:rFonts w:cs="Arial"/>
          <w:szCs w:val="24"/>
        </w:rPr>
        <w:t xml:space="preserve"> visualisieren.</w:t>
      </w:r>
    </w:p>
    <w:p w14:paraId="0578541C" w14:textId="77777777" w:rsidR="00CC0CFE" w:rsidRPr="007C06DC" w:rsidRDefault="00CC0CFE" w:rsidP="00CC0CFE">
      <w:pPr>
        <w:spacing w:line="360" w:lineRule="atLeast"/>
        <w:jc w:val="both"/>
        <w:rPr>
          <w:rFonts w:cs="Arial"/>
          <w:szCs w:val="24"/>
        </w:rPr>
      </w:pPr>
    </w:p>
    <w:p w14:paraId="743F5C9B" w14:textId="583B4FAB" w:rsidR="00CC0CFE" w:rsidRPr="0016673F" w:rsidRDefault="00CC0CFE" w:rsidP="00CC0CFE">
      <w:pPr>
        <w:spacing w:line="360" w:lineRule="atLeast"/>
        <w:jc w:val="both"/>
        <w:rPr>
          <w:rFonts w:cs="Arial"/>
          <w:bCs/>
          <w:szCs w:val="24"/>
        </w:rPr>
      </w:pPr>
      <w:r w:rsidRPr="007C06DC">
        <w:rPr>
          <w:rFonts w:cs="Arial"/>
          <w:bCs/>
          <w:szCs w:val="24"/>
        </w:rPr>
        <w:t xml:space="preserve">Den Genehmigungsbehörden sowie den Vorhabenträgern wird empfohlen, für ein effizientes Verfahrensmanagement jeweils auf ihrer Seite Sorge zu tragen. Ein effizientes und stringentes Projektmanagement trägt neben vollständigen und prüffähigen Antragsunterlagen </w:t>
      </w:r>
      <w:r w:rsidR="00FF0AA6">
        <w:rPr>
          <w:rFonts w:cs="Arial"/>
          <w:bCs/>
          <w:szCs w:val="24"/>
        </w:rPr>
        <w:t>(</w:t>
      </w:r>
      <w:hyperlink r:id="rId12" w:history="1">
        <w:r w:rsidR="00FF0AA6" w:rsidRPr="00FF0AA6">
          <w:rPr>
            <w:rStyle w:val="Hyperlink"/>
            <w:rFonts w:cs="Arial"/>
            <w:bCs/>
            <w:szCs w:val="24"/>
          </w:rPr>
          <w:t>Checkliste Antragsunterlagen</w:t>
        </w:r>
      </w:hyperlink>
      <w:r w:rsidR="00FF0AA6">
        <w:rPr>
          <w:rFonts w:cs="Arial"/>
          <w:bCs/>
          <w:szCs w:val="24"/>
        </w:rPr>
        <w:t xml:space="preserve">) </w:t>
      </w:r>
      <w:r w:rsidRPr="007C06DC">
        <w:rPr>
          <w:rFonts w:cs="Arial"/>
          <w:bCs/>
          <w:szCs w:val="24"/>
        </w:rPr>
        <w:t>entscheidend zur Verkürzung des Genehmigungsverfahrens bei. I</w:t>
      </w:r>
      <w:r w:rsidRPr="007C06DC">
        <w:t>nsbesondere für umfangreiche und komplexe Verfahren sollen Genehmigungsbehörden sowie Vorhabenträger erwägen, einen externen Projektmanager zu beauftragen. Diese Frage sollte bereits</w:t>
      </w:r>
      <w:r>
        <w:t xml:space="preserve"> vor Antragstellung zwischen Genehmigungsbehörde und Vorhabenträger erörtert werden (§ 2 Abs. 2 Nr. 5 der 9.</w:t>
      </w:r>
      <w:r w:rsidRPr="00FE4082">
        <w:t xml:space="preserve"> </w:t>
      </w:r>
      <w:r>
        <w:t>BImSchV) (s. Kapitel 3.9).</w:t>
      </w:r>
    </w:p>
    <w:p w14:paraId="43E77890" w14:textId="77777777" w:rsidR="00CC0CFE" w:rsidRDefault="00CC0CFE" w:rsidP="00CC0CFE">
      <w:pPr>
        <w:spacing w:line="360" w:lineRule="atLeast"/>
        <w:jc w:val="both"/>
        <w:rPr>
          <w:rFonts w:cs="Arial"/>
          <w:szCs w:val="24"/>
        </w:rPr>
      </w:pPr>
    </w:p>
    <w:p w14:paraId="2208F705" w14:textId="583D56DD" w:rsidR="00CC0CFE" w:rsidRPr="009345FF" w:rsidRDefault="00CC0CFE" w:rsidP="00CC0CFE">
      <w:pPr>
        <w:spacing w:line="360" w:lineRule="atLeast"/>
        <w:jc w:val="both"/>
        <w:rPr>
          <w:b/>
        </w:rPr>
      </w:pPr>
      <w:r>
        <w:rPr>
          <w:rFonts w:cs="Arial"/>
          <w:szCs w:val="24"/>
        </w:rPr>
        <w:t xml:space="preserve">Für einen möglichst reibungslosen Ablauf des Verfahrens </w:t>
      </w:r>
      <w:r w:rsidRPr="007C06DC">
        <w:rPr>
          <w:rFonts w:cs="Arial"/>
          <w:szCs w:val="24"/>
        </w:rPr>
        <w:t>sind regelmäßige Abstimmungsgespräche (Jours fixes, s. Kapitel 3.</w:t>
      </w:r>
      <w:r>
        <w:rPr>
          <w:rFonts w:cs="Arial"/>
          <w:szCs w:val="24"/>
        </w:rPr>
        <w:t>7</w:t>
      </w:r>
      <w:r w:rsidRPr="007C06DC">
        <w:rPr>
          <w:rFonts w:cs="Arial"/>
          <w:szCs w:val="24"/>
        </w:rPr>
        <w:t>) zwischen Vorhabenträger und</w:t>
      </w:r>
      <w:r>
        <w:rPr>
          <w:rFonts w:cs="Arial"/>
          <w:szCs w:val="24"/>
        </w:rPr>
        <w:t xml:space="preserve"> Genehmigungsbehörde essenziell. Dabei sind </w:t>
      </w:r>
      <w:r w:rsidRPr="00F95A10">
        <w:rPr>
          <w:rFonts w:cs="Arial"/>
          <w:szCs w:val="24"/>
        </w:rPr>
        <w:t>Meilensteine festzusetzen</w:t>
      </w:r>
      <w:r>
        <w:rPr>
          <w:rFonts w:cs="Arial"/>
          <w:szCs w:val="24"/>
        </w:rPr>
        <w:t xml:space="preserve">. </w:t>
      </w:r>
      <w:r w:rsidRPr="00F95A10">
        <w:rPr>
          <w:rFonts w:cs="Arial"/>
          <w:szCs w:val="24"/>
        </w:rPr>
        <w:t>Der Zeitplan sollte</w:t>
      </w:r>
      <w:r>
        <w:rPr>
          <w:rFonts w:cs="Arial"/>
          <w:szCs w:val="24"/>
        </w:rPr>
        <w:t xml:space="preserve"> bei jedem Jour fixe überprüft</w:t>
      </w:r>
      <w:r w:rsidRPr="00F95A10">
        <w:rPr>
          <w:rFonts w:cs="Arial"/>
          <w:szCs w:val="24"/>
        </w:rPr>
        <w:t xml:space="preserve"> und ggf. angepasst werden.</w:t>
      </w:r>
    </w:p>
    <w:p w14:paraId="693DD8F6" w14:textId="77777777" w:rsidR="007F520D" w:rsidRDefault="007F520D" w:rsidP="00F3316C">
      <w:pPr>
        <w:pStyle w:val="BW1Standard"/>
        <w:shd w:val="clear" w:color="auto" w:fill="FFFFFF" w:themeFill="background1"/>
        <w:rPr>
          <w:b/>
        </w:rPr>
      </w:pPr>
    </w:p>
    <w:p w14:paraId="5C7CC705" w14:textId="2A972630" w:rsidR="00401945" w:rsidRDefault="00F3316C" w:rsidP="000C26BF">
      <w:pPr>
        <w:pStyle w:val="UMberschrift2num-Arial-12pt"/>
      </w:pPr>
      <w:r w:rsidRPr="00C319B8">
        <w:rPr>
          <w:shd w:val="clear" w:color="auto" w:fill="D9D9D9" w:themeFill="background1" w:themeFillShade="D9"/>
        </w:rPr>
        <w:t>Digital</w:t>
      </w:r>
      <w:r w:rsidR="00C319B8" w:rsidRPr="00C319B8">
        <w:rPr>
          <w:shd w:val="clear" w:color="auto" w:fill="D9D9D9" w:themeFill="background1" w:themeFillShade="D9"/>
        </w:rPr>
        <w:t>es</w:t>
      </w:r>
      <w:r w:rsidR="009345FF" w:rsidRPr="00C319B8">
        <w:rPr>
          <w:shd w:val="clear" w:color="auto" w:fill="D9D9D9" w:themeFill="background1" w:themeFillShade="D9"/>
        </w:rPr>
        <w:t xml:space="preserve"> Genehmigungsverfahren</w:t>
      </w:r>
    </w:p>
    <w:p w14:paraId="074632DD" w14:textId="77777777" w:rsidR="00EA1D51" w:rsidRDefault="00EA1D51" w:rsidP="00C319B8">
      <w:pPr>
        <w:pStyle w:val="BW1Standard"/>
      </w:pPr>
    </w:p>
    <w:p w14:paraId="197F9740" w14:textId="7905394B" w:rsidR="00C319B8" w:rsidRDefault="00C319B8" w:rsidP="00C319B8">
      <w:pPr>
        <w:pStyle w:val="BW1Standard"/>
      </w:pPr>
      <w:r w:rsidRPr="009918A9">
        <w:t xml:space="preserve">Gemäß den Vorgaben aus § 10a BImSchG sind die Genehmigungsverfahren für </w:t>
      </w:r>
      <w:r w:rsidR="00372DBE" w:rsidRPr="009918A9">
        <w:t>WEA</w:t>
      </w:r>
      <w:r w:rsidRPr="009918A9">
        <w:t xml:space="preserve"> elektronisch durchzuführen. Das</w:t>
      </w:r>
      <w:r>
        <w:t xml:space="preserve"> bedeutet, dass sowohl </w:t>
      </w:r>
      <w:r w:rsidR="00FF0AA6">
        <w:t>Vorhabenträger</w:t>
      </w:r>
      <w:r>
        <w:t xml:space="preserve">, als auch die Genehmigungsbehörden, die hierfür erforderlichen organisatorischen und technischen Voraussetzungen sicherstellen müssen. </w:t>
      </w:r>
      <w:r w:rsidR="00372DBE">
        <w:t xml:space="preserve">Die Genehmigungsbehörde kann Vorgaben zum digitalen Format der eingereichten Unterlagen machen (§ 10 Abs. 1 Satz 4 BImSchG). Es wird empfohlen die digitale </w:t>
      </w:r>
      <w:r w:rsidR="00372DBE" w:rsidRPr="00A91E51">
        <w:t>Durchsuchbarkeit der</w:t>
      </w:r>
      <w:r w:rsidR="00372DBE">
        <w:t xml:space="preserve"> Unterlagen festzulegen. </w:t>
      </w:r>
      <w:r>
        <w:t>Zu einer digitalen Verfahrensführung gehören neben einer elektronischen Antragsstellung auch eine elektronische Beteiligung der Fachbehörden und ein elektronischer Genehmigungsbescheid. Sofern für das jeweilige Genehmigungsverfahren eine Öffentlichkeitsbeteiligung erforderlich ist oder freiwillig durchgeführt werden soll, hat auch diese digital zu erfolgen.</w:t>
      </w:r>
    </w:p>
    <w:p w14:paraId="4EDA25A6" w14:textId="77777777" w:rsidR="00C319B8" w:rsidRDefault="00C319B8" w:rsidP="00C319B8">
      <w:pPr>
        <w:pStyle w:val="BW1Standard"/>
      </w:pPr>
    </w:p>
    <w:p w14:paraId="21E34260" w14:textId="57FC439B" w:rsidR="00C319B8" w:rsidRDefault="00C319B8" w:rsidP="00C319B8">
      <w:pPr>
        <w:pStyle w:val="BW1Standard"/>
      </w:pPr>
      <w:r>
        <w:t>Für die elektronische</w:t>
      </w:r>
      <w:r w:rsidRPr="007C06DC">
        <w:t xml:space="preserve"> Antragstellung</w:t>
      </w:r>
      <w:r>
        <w:t xml:space="preserve"> steht im </w:t>
      </w:r>
      <w:r w:rsidRPr="005C6EF7">
        <w:t>Serviceportal Baden-Württemberg (service-</w:t>
      </w:r>
      <w:proofErr w:type="spellStart"/>
      <w:r w:rsidRPr="005C6EF7">
        <w:t>bw</w:t>
      </w:r>
      <w:proofErr w:type="spellEnd"/>
      <w:r w:rsidRPr="005C6EF7">
        <w:t>) ein durch die Antragsstellung leitende</w:t>
      </w:r>
      <w:r w:rsidR="00FE363E" w:rsidRPr="005C6EF7">
        <w:t>r</w:t>
      </w:r>
      <w:r w:rsidRPr="005C6EF7">
        <w:t xml:space="preserve"> </w:t>
      </w:r>
      <w:hyperlink r:id="rId13" w:history="1">
        <w:r w:rsidRPr="005C6EF7">
          <w:rPr>
            <w:rStyle w:val="Hyperlink"/>
          </w:rPr>
          <w:t>Webantrag</w:t>
        </w:r>
      </w:hyperlink>
      <w:r>
        <w:t xml:space="preserve"> zur Verfügung, bei dem </w:t>
      </w:r>
      <w:r>
        <w:lastRenderedPageBreak/>
        <w:t xml:space="preserve">die Antragstellung durch die gezielte Bereitstellung von Informationen unterstützt wird. Zudem ergibt sich durch das Webformular </w:t>
      </w:r>
      <w:r w:rsidRPr="00F44B2A">
        <w:t>ein standardisierte</w:t>
      </w:r>
      <w:r>
        <w:t>r</w:t>
      </w:r>
      <w:r w:rsidRPr="00F44B2A">
        <w:t xml:space="preserve"> Aufbau der </w:t>
      </w:r>
      <w:r>
        <w:t xml:space="preserve">Genehmigungsanträge, was eine effiziente Antragsbearbeitung begünstigt. </w:t>
      </w:r>
      <w:r w:rsidR="005312A2">
        <w:t xml:space="preserve">Die Genehmigungsbehörde kann und soll auf die Nutzung des Webantrags bestehen (§ 10 Abs. 1 BImSchG). </w:t>
      </w:r>
      <w:r>
        <w:t xml:space="preserve">Wichtig ist </w:t>
      </w:r>
      <w:r w:rsidR="005312A2">
        <w:t xml:space="preserve">hierbei </w:t>
      </w:r>
      <w:r>
        <w:t>allerdings, dass diese strukturellen Vorgaben bereits von Beginn an bei dem Prozess der Antragserstellung berücksichtigt werde</w:t>
      </w:r>
      <w:r w:rsidRPr="007B4409">
        <w:t>n.</w:t>
      </w:r>
      <w:r w:rsidR="007B4409" w:rsidRPr="007B4409">
        <w:rPr>
          <w:rFonts w:eastAsia="Times New Roman"/>
          <w:color w:val="333333"/>
          <w:kern w:val="0"/>
          <w:shd w:val="clear" w:color="auto" w:fill="FFFFFF"/>
          <w:lang w:eastAsia="de-DE"/>
        </w:rPr>
        <w:t xml:space="preserve"> </w:t>
      </w:r>
      <w:r w:rsidR="005312A2">
        <w:rPr>
          <w:rFonts w:eastAsia="Times New Roman"/>
          <w:color w:val="333333"/>
          <w:kern w:val="0"/>
          <w:shd w:val="clear" w:color="auto" w:fill="FFFFFF"/>
          <w:lang w:eastAsia="de-DE"/>
        </w:rPr>
        <w:t>Als Orientierungshilfe steht hierzu d</w:t>
      </w:r>
      <w:r w:rsidR="007B4409" w:rsidRPr="007B4409">
        <w:rPr>
          <w:rFonts w:eastAsia="Times New Roman"/>
          <w:color w:val="333333"/>
          <w:kern w:val="0"/>
          <w:shd w:val="clear" w:color="auto" w:fill="FFFFFF"/>
          <w:lang w:eastAsia="de-DE"/>
        </w:rPr>
        <w:t xml:space="preserve">ie </w:t>
      </w:r>
      <w:r w:rsidR="007B4409" w:rsidRPr="007B4409">
        <w:t>Tabelle</w:t>
      </w:r>
      <w:r w:rsidR="007B4409">
        <w:t xml:space="preserve"> „</w:t>
      </w:r>
      <w:hyperlink r:id="rId14" w:history="1">
        <w:r w:rsidR="007B4409" w:rsidRPr="005312A2">
          <w:rPr>
            <w:rStyle w:val="Hyperlink"/>
          </w:rPr>
          <w:t xml:space="preserve">Struktur und </w:t>
        </w:r>
        <w:proofErr w:type="spellStart"/>
        <w:r w:rsidR="007B4409" w:rsidRPr="005312A2">
          <w:rPr>
            <w:rStyle w:val="Hyperlink"/>
          </w:rPr>
          <w:t>Uploadfelder</w:t>
        </w:r>
        <w:proofErr w:type="spellEnd"/>
        <w:r w:rsidR="007B4409" w:rsidRPr="005312A2">
          <w:rPr>
            <w:rStyle w:val="Hyperlink"/>
          </w:rPr>
          <w:t xml:space="preserve"> BImSchG-Antrag</w:t>
        </w:r>
      </w:hyperlink>
      <w:r w:rsidR="007B4409">
        <w:t>“</w:t>
      </w:r>
      <w:r w:rsidR="005312A2">
        <w:t xml:space="preserve"> zur Verfügung, aus welcher der </w:t>
      </w:r>
      <w:r w:rsidR="007B4409" w:rsidRPr="007B4409">
        <w:t>durch das Webformular vorgegeben Antragsaufbau</w:t>
      </w:r>
      <w:r w:rsidR="005312A2">
        <w:t xml:space="preserve"> hiervorgeht und</w:t>
      </w:r>
      <w:r w:rsidR="007B4409" w:rsidRPr="007B4409">
        <w:t xml:space="preserve"> eine Auflistung </w:t>
      </w:r>
      <w:r w:rsidR="005312A2">
        <w:t>aller</w:t>
      </w:r>
      <w:r w:rsidR="007B4409" w:rsidRPr="007B4409">
        <w:t xml:space="preserve"> enthaltenen </w:t>
      </w:r>
      <w:proofErr w:type="spellStart"/>
      <w:r w:rsidR="007B4409" w:rsidRPr="007B4409">
        <w:t>Uploadfelder</w:t>
      </w:r>
      <w:proofErr w:type="spellEnd"/>
      <w:r w:rsidR="007B4409">
        <w:t xml:space="preserve"> </w:t>
      </w:r>
      <w:r w:rsidR="005312A2">
        <w:t>beinhaltet</w:t>
      </w:r>
      <w:r w:rsidR="007B4409">
        <w:t>.</w:t>
      </w:r>
      <w:r>
        <w:t xml:space="preserve"> </w:t>
      </w:r>
    </w:p>
    <w:p w14:paraId="26761406" w14:textId="3D112A31" w:rsidR="00C319B8" w:rsidRDefault="00C319B8" w:rsidP="00C319B8">
      <w:pPr>
        <w:pStyle w:val="BW1Standard"/>
      </w:pPr>
      <w:r>
        <w:t xml:space="preserve">Auch für das </w:t>
      </w:r>
      <w:r w:rsidRPr="005C6EF7">
        <w:t>immissionsschutzrechtliche Anzeigeverfahren für nicht wesentliche Änderungen genehmigungsbedürftiger Anlagen steh</w:t>
      </w:r>
      <w:r w:rsidR="00FE363E" w:rsidRPr="005C6EF7">
        <w:t>t</w:t>
      </w:r>
      <w:r w:rsidRPr="005C6EF7">
        <w:t xml:space="preserve"> auf service-</w:t>
      </w:r>
      <w:proofErr w:type="spellStart"/>
      <w:r w:rsidRPr="005C6EF7">
        <w:t>bw</w:t>
      </w:r>
      <w:proofErr w:type="spellEnd"/>
      <w:r>
        <w:t xml:space="preserve"> ein entsprechender </w:t>
      </w:r>
      <w:hyperlink r:id="rId15" w:history="1">
        <w:r w:rsidR="005C6EF7" w:rsidRPr="005C6EF7">
          <w:rPr>
            <w:rStyle w:val="Hyperlink"/>
          </w:rPr>
          <w:t>Webantrag</w:t>
        </w:r>
      </w:hyperlink>
      <w:r>
        <w:t xml:space="preserve"> zur Verfügun</w:t>
      </w:r>
      <w:r w:rsidR="00FE363E">
        <w:t>g</w:t>
      </w:r>
      <w:r>
        <w:t>.</w:t>
      </w:r>
      <w:r w:rsidDel="00FA4A94">
        <w:t xml:space="preserve"> </w:t>
      </w:r>
    </w:p>
    <w:p w14:paraId="1AEAF808" w14:textId="77777777" w:rsidR="00C319B8" w:rsidRDefault="00C319B8" w:rsidP="00C319B8">
      <w:pPr>
        <w:pStyle w:val="BW1Standard"/>
      </w:pPr>
    </w:p>
    <w:p w14:paraId="433A1A2E" w14:textId="5DD09D8F" w:rsidR="00C319B8" w:rsidRDefault="00C319B8" w:rsidP="00C319B8">
      <w:pPr>
        <w:pStyle w:val="BW1Standard"/>
        <w:rPr>
          <w:i/>
        </w:rPr>
      </w:pPr>
      <w:r>
        <w:t>Für</w:t>
      </w:r>
      <w:r w:rsidRPr="007C06DC">
        <w:t xml:space="preserve"> die</w:t>
      </w:r>
      <w:r>
        <w:t xml:space="preserve"> digitale</w:t>
      </w:r>
      <w:r w:rsidRPr="007C06DC">
        <w:t xml:space="preserve"> Beteiligung der </w:t>
      </w:r>
      <w:proofErr w:type="spellStart"/>
      <w:r w:rsidRPr="007C06DC">
        <w:t>TöB</w:t>
      </w:r>
      <w:proofErr w:type="spellEnd"/>
      <w:r w:rsidRPr="007C06DC">
        <w:t xml:space="preserve"> im Rahmen des immissionsschutzrechtlichen Genehmigungsverfahrens</w:t>
      </w:r>
      <w:r>
        <w:t xml:space="preserve"> sind aufgrund des Datenumfangs „Cloud-Lösungen“ zu nutzen. </w:t>
      </w:r>
      <w:r w:rsidRPr="000161EB">
        <w:t xml:space="preserve">(Hinweis: </w:t>
      </w:r>
      <w:r>
        <w:t xml:space="preserve">Von Seiten des Landes wird hierzu die </w:t>
      </w:r>
      <w:r w:rsidRPr="00B273AB">
        <w:rPr>
          <w:i/>
        </w:rPr>
        <w:t>Cloud-Immissionsschutz Baden-Württemberg</w:t>
      </w:r>
      <w:r>
        <w:t xml:space="preserve"> angeboten</w:t>
      </w:r>
      <w:r w:rsidRPr="00CF708C">
        <w:t>.</w:t>
      </w:r>
      <w:r>
        <w:t xml:space="preserve"> Diese ist mit dem digitalen Antragsverfahren über Service BW verknüpft und die Antragsunterlagen können für eine </w:t>
      </w:r>
      <w:proofErr w:type="spellStart"/>
      <w:r>
        <w:t>TöB</w:t>
      </w:r>
      <w:proofErr w:type="spellEnd"/>
      <w:r>
        <w:t>-Beteiligung genutzt werden).</w:t>
      </w:r>
    </w:p>
    <w:p w14:paraId="270B374C" w14:textId="77777777" w:rsidR="00C319B8" w:rsidRDefault="00C319B8" w:rsidP="00C319B8">
      <w:pPr>
        <w:pStyle w:val="BW1Standard"/>
      </w:pPr>
      <w:r>
        <w:t xml:space="preserve"> </w:t>
      </w:r>
    </w:p>
    <w:p w14:paraId="74551741" w14:textId="571C87AF" w:rsidR="00C319B8" w:rsidRDefault="006400CF" w:rsidP="00C319B8">
      <w:pPr>
        <w:pStyle w:val="BW1Standard"/>
        <w:rPr>
          <w:color w:val="FF0000"/>
        </w:rPr>
      </w:pPr>
      <w:r>
        <w:t>Auch die Öffentlichkeitsbeteiligung erfolgt, soweit erforderlich oder freiwillig durchgeführt weitestgehend digital (mehr hierzu in Kapitel 5</w:t>
      </w:r>
      <w:r w:rsidR="00056CD4">
        <w:t>.1</w:t>
      </w:r>
      <w:r>
        <w:t>).</w:t>
      </w:r>
      <w:r w:rsidR="00056CD4">
        <w:t xml:space="preserve"> </w:t>
      </w:r>
      <w:r w:rsidR="00C319B8">
        <w:t>Einwendung können auch weiterhin auf dem schriftlichen Weg vorgebracht werden (§ 10a Abs. 5 BImSchG</w:t>
      </w:r>
      <w:r w:rsidR="00C319B8">
        <w:rPr>
          <w:sz w:val="26"/>
          <w:szCs w:val="26"/>
        </w:rPr>
        <w:t>)</w:t>
      </w:r>
      <w:r w:rsidR="00C319B8">
        <w:t>.</w:t>
      </w:r>
    </w:p>
    <w:p w14:paraId="7F69FEBD" w14:textId="77777777" w:rsidR="00C319B8" w:rsidRDefault="00C319B8" w:rsidP="00C319B8">
      <w:pPr>
        <w:pStyle w:val="BW1Standard"/>
        <w:rPr>
          <w:color w:val="FF0000"/>
        </w:rPr>
      </w:pPr>
    </w:p>
    <w:p w14:paraId="205E88AE" w14:textId="6BAB3F86" w:rsidR="00C319B8" w:rsidRPr="00FE363E" w:rsidRDefault="00414657" w:rsidP="00C319B8">
      <w:pPr>
        <w:pStyle w:val="BW1Standard"/>
      </w:pPr>
      <w:r w:rsidRPr="00414657">
        <w:t>Die Antragssteller sind verpflichtet, für die Übermittlung der Genehmigungsbescheide einen Zugang zur elektronischen Zustellung zu e</w:t>
      </w:r>
      <w:r>
        <w:t xml:space="preserve">röffnen. </w:t>
      </w:r>
      <w:r w:rsidR="0047510D">
        <w:t xml:space="preserve">Elektronische </w:t>
      </w:r>
      <w:r w:rsidR="00C319B8" w:rsidRPr="00FE363E">
        <w:t xml:space="preserve">Genehmigungsbescheide </w:t>
      </w:r>
      <w:r w:rsidR="0047510D">
        <w:t xml:space="preserve">müssen </w:t>
      </w:r>
      <w:r>
        <w:t xml:space="preserve">hierfür </w:t>
      </w:r>
      <w:r w:rsidR="00C319B8" w:rsidRPr="00FE363E">
        <w:t xml:space="preserve">von der Genehmigungsbehörde mit einer qualifizierten elektronischen Signatur versehen werden. Hierzu </w:t>
      </w:r>
      <w:r w:rsidR="000034F1">
        <w:t>muss die Genehmigungsbehörde</w:t>
      </w:r>
      <w:r w:rsidR="000034F1" w:rsidRPr="00FE363E">
        <w:t xml:space="preserve"> </w:t>
      </w:r>
      <w:r w:rsidR="00C319B8" w:rsidRPr="00FE363E">
        <w:t xml:space="preserve">entsprechende Signaturkarten vorhalten. </w:t>
      </w:r>
    </w:p>
    <w:p w14:paraId="65AE43F7" w14:textId="77777777" w:rsidR="00C319B8" w:rsidRDefault="00C319B8" w:rsidP="00C319B8">
      <w:pPr>
        <w:pStyle w:val="BW1Standard"/>
      </w:pPr>
    </w:p>
    <w:p w14:paraId="1945B450" w14:textId="77777777" w:rsidR="000C26BF" w:rsidRDefault="000C26BF" w:rsidP="00C319B8">
      <w:pPr>
        <w:pStyle w:val="BW1Standard"/>
      </w:pPr>
    </w:p>
    <w:p w14:paraId="3A6F9A6C" w14:textId="77777777" w:rsidR="000C26BF" w:rsidRDefault="000C26BF" w:rsidP="00C319B8">
      <w:pPr>
        <w:pStyle w:val="BW1Standard"/>
      </w:pPr>
    </w:p>
    <w:p w14:paraId="1F24C543" w14:textId="77777777" w:rsidR="00382B05" w:rsidRPr="0016672A" w:rsidRDefault="0016672A" w:rsidP="000C26BF">
      <w:pPr>
        <w:pStyle w:val="UMberschrift1numArial-fett-12pt"/>
      </w:pPr>
      <w:r w:rsidRPr="0016672A">
        <w:lastRenderedPageBreak/>
        <w:t>Projektierung/Planung</w:t>
      </w:r>
    </w:p>
    <w:p w14:paraId="60B062E5" w14:textId="0397327F" w:rsidR="00CC1C3B" w:rsidRPr="00C41B95" w:rsidRDefault="00FB0C2E" w:rsidP="000C26BF">
      <w:pPr>
        <w:pStyle w:val="UMberschrift2num-Arial-12pt"/>
      </w:pPr>
      <w:r>
        <w:t>Genehmigungserfordernis und Genehmigungsumfang</w:t>
      </w:r>
    </w:p>
    <w:p w14:paraId="2DB7C447" w14:textId="77777777" w:rsidR="00401945" w:rsidRDefault="00401945" w:rsidP="00CC1C3B">
      <w:pPr>
        <w:spacing w:line="360" w:lineRule="atLeast"/>
        <w:jc w:val="both"/>
        <w:rPr>
          <w:rFonts w:cs="Arial"/>
          <w:szCs w:val="24"/>
        </w:rPr>
      </w:pPr>
    </w:p>
    <w:p w14:paraId="69CED6F0" w14:textId="0F889516" w:rsidR="00CC1C3B" w:rsidRDefault="00CC1C3B" w:rsidP="00CC1C3B">
      <w:pPr>
        <w:spacing w:line="360" w:lineRule="atLeast"/>
        <w:jc w:val="both"/>
        <w:rPr>
          <w:rFonts w:cs="Arial"/>
          <w:szCs w:val="24"/>
        </w:rPr>
      </w:pPr>
      <w:r w:rsidRPr="00CC1C3B">
        <w:rPr>
          <w:rFonts w:cs="Arial"/>
          <w:szCs w:val="24"/>
        </w:rPr>
        <w:t xml:space="preserve">Bei den </w:t>
      </w:r>
      <w:r w:rsidR="004B09B6">
        <w:rPr>
          <w:rFonts w:cs="Arial"/>
          <w:szCs w:val="24"/>
        </w:rPr>
        <w:t>Genehmigungsv</w:t>
      </w:r>
      <w:r w:rsidRPr="00CC1C3B">
        <w:rPr>
          <w:rFonts w:cs="Arial"/>
          <w:szCs w:val="24"/>
        </w:rPr>
        <w:t xml:space="preserve">erfahren zum Bau und Betrieb von </w:t>
      </w:r>
      <w:r w:rsidR="00401945">
        <w:rPr>
          <w:rFonts w:cs="Arial"/>
          <w:szCs w:val="24"/>
        </w:rPr>
        <w:t>WEA</w:t>
      </w:r>
      <w:r w:rsidR="00401945" w:rsidRPr="00CC1C3B">
        <w:rPr>
          <w:rFonts w:cs="Arial"/>
          <w:szCs w:val="24"/>
        </w:rPr>
        <w:t xml:space="preserve"> </w:t>
      </w:r>
      <w:r w:rsidRPr="00CC1C3B">
        <w:rPr>
          <w:rFonts w:cs="Arial"/>
          <w:szCs w:val="24"/>
        </w:rPr>
        <w:t xml:space="preserve">handelt es sich </w:t>
      </w:r>
      <w:r w:rsidR="00DB1958">
        <w:rPr>
          <w:rFonts w:cs="Arial"/>
          <w:szCs w:val="24"/>
        </w:rPr>
        <w:t>regelmäßig</w:t>
      </w:r>
      <w:r w:rsidRPr="00CC1C3B">
        <w:rPr>
          <w:rFonts w:cs="Arial"/>
          <w:szCs w:val="24"/>
        </w:rPr>
        <w:t xml:space="preserve"> um komplexe und interdisziplinär wahrzunehmende Aufgaben mit begrenzten zeitlichen und kapazitätstechnischen Ressourcen. Zudem besteht sowohl auf Seiten des Vorhabenträgers als auch auf Seiten der </w:t>
      </w:r>
      <w:r w:rsidR="009E2B76">
        <w:rPr>
          <w:rFonts w:cs="Arial"/>
          <w:szCs w:val="24"/>
        </w:rPr>
        <w:t>Genehmigungsbehörde</w:t>
      </w:r>
      <w:r w:rsidRPr="00CC1C3B">
        <w:rPr>
          <w:rFonts w:cs="Arial"/>
          <w:szCs w:val="24"/>
        </w:rPr>
        <w:t xml:space="preserve"> das Ziel, rechtssichere Entscheidungen zu treffen. Diese Ziele, Rechtssicherheit </w:t>
      </w:r>
      <w:r w:rsidR="00EE2CCC">
        <w:rPr>
          <w:rFonts w:cs="Arial"/>
          <w:szCs w:val="24"/>
        </w:rPr>
        <w:t>bzw.</w:t>
      </w:r>
      <w:r w:rsidR="00EE2CCC" w:rsidRPr="00CC1C3B">
        <w:rPr>
          <w:rFonts w:cs="Arial"/>
          <w:szCs w:val="24"/>
        </w:rPr>
        <w:t xml:space="preserve"> </w:t>
      </w:r>
      <w:r w:rsidRPr="00CC1C3B">
        <w:rPr>
          <w:rFonts w:cs="Arial"/>
          <w:szCs w:val="24"/>
        </w:rPr>
        <w:t xml:space="preserve">Qualität, </w:t>
      </w:r>
      <w:r w:rsidR="000161EB">
        <w:rPr>
          <w:rFonts w:cs="Arial"/>
          <w:szCs w:val="24"/>
        </w:rPr>
        <w:t>optimierter</w:t>
      </w:r>
      <w:r w:rsidR="004B09B6">
        <w:rPr>
          <w:rFonts w:cs="Arial"/>
          <w:szCs w:val="24"/>
        </w:rPr>
        <w:t xml:space="preserve"> </w:t>
      </w:r>
      <w:r w:rsidRPr="00CC1C3B">
        <w:rPr>
          <w:rFonts w:cs="Arial"/>
          <w:szCs w:val="24"/>
        </w:rPr>
        <w:t>Zeit</w:t>
      </w:r>
      <w:r w:rsidR="004B09B6">
        <w:rPr>
          <w:rFonts w:cs="Arial"/>
          <w:szCs w:val="24"/>
        </w:rPr>
        <w:t>-</w:t>
      </w:r>
      <w:r w:rsidRPr="00CC1C3B">
        <w:rPr>
          <w:rFonts w:cs="Arial"/>
          <w:szCs w:val="24"/>
        </w:rPr>
        <w:t xml:space="preserve"> und Ressourcen</w:t>
      </w:r>
      <w:r w:rsidR="004B09B6">
        <w:rPr>
          <w:rFonts w:cs="Arial"/>
          <w:szCs w:val="24"/>
        </w:rPr>
        <w:t>einsatz</w:t>
      </w:r>
      <w:r w:rsidR="000E7662">
        <w:rPr>
          <w:rFonts w:cs="Arial"/>
          <w:szCs w:val="24"/>
        </w:rPr>
        <w:t>,</w:t>
      </w:r>
      <w:r w:rsidRPr="00CC1C3B">
        <w:rPr>
          <w:rFonts w:cs="Arial"/>
          <w:szCs w:val="24"/>
        </w:rPr>
        <w:t xml:space="preserve"> hängen voneinander ab. Das Projektmanagement dient dabei der termingerechten Realisierung des Projektziels unter Beachtung der vorhandenen Ressourcen. Damit ein solches Projekt erfolgreich abläuft, muss der Ansatz des Projektmanagements ganzheitlich sein. </w:t>
      </w:r>
    </w:p>
    <w:p w14:paraId="3F1896AB" w14:textId="77777777" w:rsidR="00F9080D" w:rsidRPr="00CC1C3B" w:rsidRDefault="00F9080D" w:rsidP="00F9080D">
      <w:pPr>
        <w:spacing w:line="360" w:lineRule="atLeast"/>
        <w:jc w:val="both"/>
        <w:rPr>
          <w:rFonts w:cs="Arial"/>
          <w:szCs w:val="24"/>
        </w:rPr>
      </w:pPr>
    </w:p>
    <w:p w14:paraId="2D590406" w14:textId="2381FE97" w:rsidR="00CC1C3B" w:rsidRPr="000161EB" w:rsidRDefault="00CC1C3B" w:rsidP="00CC1C3B">
      <w:pPr>
        <w:spacing w:line="360" w:lineRule="atLeast"/>
        <w:jc w:val="both"/>
        <w:rPr>
          <w:rFonts w:cs="Arial"/>
          <w:szCs w:val="24"/>
        </w:rPr>
      </w:pPr>
      <w:r w:rsidRPr="000161EB">
        <w:rPr>
          <w:rFonts w:cs="Arial"/>
          <w:szCs w:val="24"/>
        </w:rPr>
        <w:t xml:space="preserve">Anlagen zur Nutzung von Windenergie mit einer Gesamthöhe von mehr als </w:t>
      </w:r>
      <w:r w:rsidR="0011040E" w:rsidRPr="000161EB">
        <w:rPr>
          <w:rFonts w:cs="Arial"/>
          <w:szCs w:val="24"/>
        </w:rPr>
        <w:t>50 </w:t>
      </w:r>
      <w:r w:rsidRPr="000161EB">
        <w:rPr>
          <w:rFonts w:cs="Arial"/>
          <w:szCs w:val="24"/>
        </w:rPr>
        <w:t xml:space="preserve">Metern bedürfen der </w:t>
      </w:r>
      <w:r w:rsidR="0011040E" w:rsidRPr="000161EB">
        <w:rPr>
          <w:rFonts w:cs="Arial"/>
          <w:szCs w:val="24"/>
        </w:rPr>
        <w:t xml:space="preserve">immissionsschutzrechtlichen </w:t>
      </w:r>
      <w:r w:rsidRPr="000161EB">
        <w:rPr>
          <w:rFonts w:cs="Arial"/>
          <w:szCs w:val="24"/>
        </w:rPr>
        <w:t xml:space="preserve">Genehmigung (vgl. Ziff. 1.6 </w:t>
      </w:r>
      <w:r w:rsidR="008F467E">
        <w:rPr>
          <w:rFonts w:cs="Arial"/>
          <w:szCs w:val="24"/>
        </w:rPr>
        <w:t>Anhang</w:t>
      </w:r>
      <w:r w:rsidR="008F467E" w:rsidRPr="000161EB">
        <w:rPr>
          <w:rFonts w:cs="Arial"/>
          <w:szCs w:val="24"/>
        </w:rPr>
        <w:t xml:space="preserve"> </w:t>
      </w:r>
      <w:r w:rsidRPr="000161EB">
        <w:rPr>
          <w:rFonts w:cs="Arial"/>
          <w:szCs w:val="24"/>
        </w:rPr>
        <w:t xml:space="preserve">1 </w:t>
      </w:r>
      <w:r w:rsidR="008F467E">
        <w:rPr>
          <w:rFonts w:cs="Arial"/>
          <w:szCs w:val="24"/>
        </w:rPr>
        <w:t>zur</w:t>
      </w:r>
      <w:r w:rsidRPr="000161EB">
        <w:rPr>
          <w:rFonts w:cs="Arial"/>
          <w:szCs w:val="24"/>
        </w:rPr>
        <w:t xml:space="preserve"> 4. BImSchV). </w:t>
      </w:r>
    </w:p>
    <w:p w14:paraId="4AFC3538" w14:textId="77777777" w:rsidR="00F9080D" w:rsidRPr="000161EB" w:rsidRDefault="00F9080D" w:rsidP="00CC1C3B">
      <w:pPr>
        <w:spacing w:line="360" w:lineRule="atLeast"/>
        <w:jc w:val="both"/>
        <w:rPr>
          <w:rFonts w:cs="Arial"/>
          <w:szCs w:val="24"/>
        </w:rPr>
      </w:pPr>
    </w:p>
    <w:p w14:paraId="4892736B" w14:textId="06FD1F6C" w:rsidR="00496675" w:rsidRDefault="00CC1C3B" w:rsidP="00CC1C3B">
      <w:pPr>
        <w:spacing w:line="360" w:lineRule="atLeast"/>
        <w:jc w:val="both"/>
        <w:rPr>
          <w:rFonts w:cs="Arial"/>
          <w:szCs w:val="24"/>
        </w:rPr>
      </w:pPr>
      <w:r w:rsidRPr="000161EB">
        <w:rPr>
          <w:rFonts w:cs="Arial"/>
          <w:szCs w:val="24"/>
        </w:rPr>
        <w:t xml:space="preserve">Die </w:t>
      </w:r>
      <w:r w:rsidR="003D6533">
        <w:rPr>
          <w:rFonts w:cs="Arial"/>
          <w:szCs w:val="24"/>
        </w:rPr>
        <w:t>WEA</w:t>
      </w:r>
      <w:r w:rsidR="003D6533" w:rsidRPr="000161EB">
        <w:rPr>
          <w:rFonts w:cs="Arial"/>
          <w:szCs w:val="24"/>
        </w:rPr>
        <w:t xml:space="preserve"> </w:t>
      </w:r>
      <w:r w:rsidRPr="000161EB">
        <w:rPr>
          <w:rFonts w:cs="Arial"/>
          <w:szCs w:val="24"/>
        </w:rPr>
        <w:t>besteht aus der Anlage selbst als Kern und</w:t>
      </w:r>
      <w:r w:rsidRPr="00CC1C3B">
        <w:rPr>
          <w:rFonts w:cs="Arial"/>
          <w:szCs w:val="24"/>
        </w:rPr>
        <w:t xml:space="preserve"> </w:t>
      </w:r>
      <w:r w:rsidR="003C0623">
        <w:rPr>
          <w:rFonts w:cs="Arial"/>
          <w:szCs w:val="24"/>
        </w:rPr>
        <w:t xml:space="preserve">aus </w:t>
      </w:r>
      <w:r w:rsidRPr="00CC1C3B">
        <w:rPr>
          <w:rFonts w:cs="Arial"/>
          <w:szCs w:val="24"/>
        </w:rPr>
        <w:t xml:space="preserve">Funktionsflächen wie </w:t>
      </w:r>
      <w:r w:rsidR="008F467E">
        <w:rPr>
          <w:rFonts w:cs="Arial"/>
          <w:szCs w:val="24"/>
        </w:rPr>
        <w:t xml:space="preserve">insbesondere </w:t>
      </w:r>
      <w:r w:rsidRPr="00CC1C3B">
        <w:rPr>
          <w:rFonts w:cs="Arial"/>
          <w:szCs w:val="24"/>
        </w:rPr>
        <w:t>Kranstellflächen, Vormontageflächen und Flächen für die Kranauslegermontage</w:t>
      </w:r>
      <w:r w:rsidR="0061658D">
        <w:rPr>
          <w:rFonts w:cs="Arial"/>
          <w:szCs w:val="24"/>
        </w:rPr>
        <w:t>.</w:t>
      </w:r>
      <w:r w:rsidRPr="00F95A10">
        <w:rPr>
          <w:vertAlign w:val="superscript"/>
        </w:rPr>
        <w:footnoteReference w:id="2"/>
      </w:r>
      <w:r w:rsidR="004B09B6">
        <w:rPr>
          <w:rFonts w:cs="Arial"/>
          <w:szCs w:val="24"/>
        </w:rPr>
        <w:t xml:space="preserve"> </w:t>
      </w:r>
      <w:r w:rsidRPr="00CC1C3B">
        <w:rPr>
          <w:rFonts w:cs="Arial"/>
          <w:szCs w:val="24"/>
        </w:rPr>
        <w:t xml:space="preserve">Zum Anlagenkern der </w:t>
      </w:r>
      <w:r w:rsidR="003D6533">
        <w:rPr>
          <w:rFonts w:cs="Arial"/>
          <w:szCs w:val="24"/>
        </w:rPr>
        <w:t>WEA</w:t>
      </w:r>
      <w:r w:rsidR="003D6533" w:rsidRPr="00CC1C3B">
        <w:rPr>
          <w:rFonts w:cs="Arial"/>
          <w:szCs w:val="24"/>
        </w:rPr>
        <w:t xml:space="preserve"> </w:t>
      </w:r>
      <w:r w:rsidRPr="00CC1C3B">
        <w:rPr>
          <w:rFonts w:cs="Arial"/>
          <w:szCs w:val="24"/>
        </w:rPr>
        <w:t>gehören alle Anlagenteile, die zum bestimmungsgemäßen Betrieb der im Anhang 1 bezeichneten Anlagen notwendig sind</w:t>
      </w:r>
      <w:r w:rsidR="0011040E">
        <w:rPr>
          <w:rFonts w:cs="Arial"/>
          <w:szCs w:val="24"/>
        </w:rPr>
        <w:t xml:space="preserve">: </w:t>
      </w:r>
      <w:r w:rsidR="008F467E">
        <w:rPr>
          <w:rFonts w:cs="Arial"/>
          <w:szCs w:val="24"/>
        </w:rPr>
        <w:t xml:space="preserve">insbesondere </w:t>
      </w:r>
      <w:r w:rsidRPr="00CC1C3B">
        <w:rPr>
          <w:rFonts w:cs="Arial"/>
          <w:szCs w:val="24"/>
        </w:rPr>
        <w:t xml:space="preserve">die komplette </w:t>
      </w:r>
      <w:r w:rsidR="003D6533">
        <w:rPr>
          <w:rFonts w:cs="Arial"/>
          <w:szCs w:val="24"/>
        </w:rPr>
        <w:t>WEA</w:t>
      </w:r>
      <w:r w:rsidR="003D6533" w:rsidRPr="00CC1C3B">
        <w:rPr>
          <w:rFonts w:cs="Arial"/>
          <w:szCs w:val="24"/>
        </w:rPr>
        <w:t xml:space="preserve"> </w:t>
      </w:r>
      <w:r w:rsidRPr="00CC1C3B">
        <w:rPr>
          <w:rFonts w:cs="Arial"/>
          <w:szCs w:val="24"/>
        </w:rPr>
        <w:t>mit Fundament, Turm, Maschinenhaus, Rotorblattanlage einschl</w:t>
      </w:r>
      <w:r w:rsidR="000E7662">
        <w:rPr>
          <w:rFonts w:cs="Arial"/>
          <w:szCs w:val="24"/>
        </w:rPr>
        <w:t>ießlich</w:t>
      </w:r>
      <w:r w:rsidRPr="00CC1C3B">
        <w:rPr>
          <w:rFonts w:cs="Arial"/>
          <w:szCs w:val="24"/>
        </w:rPr>
        <w:t xml:space="preserve"> der maschinen- und elektrotechnischen Ausstattung (Trafo- bzw. Übergabestation auf dem Betriebsgelände)</w:t>
      </w:r>
      <w:r w:rsidR="0061658D">
        <w:rPr>
          <w:rFonts w:cs="Arial"/>
          <w:szCs w:val="24"/>
        </w:rPr>
        <w:t>.</w:t>
      </w:r>
      <w:r w:rsidR="008F467E">
        <w:rPr>
          <w:rFonts w:cs="Arial"/>
          <w:szCs w:val="24"/>
        </w:rPr>
        <w:t xml:space="preserve"> Auch kurze Stichwege vom vorhandenen forstlichen Wegenetz </w:t>
      </w:r>
      <w:r w:rsidR="00DB1958">
        <w:rPr>
          <w:rFonts w:cs="Arial"/>
          <w:szCs w:val="24"/>
        </w:rPr>
        <w:t xml:space="preserve">(i.d.R. Stichwege ausschließlich für die Erschließung der WEA) </w:t>
      </w:r>
      <w:r w:rsidR="008F467E">
        <w:rPr>
          <w:rFonts w:cs="Arial"/>
          <w:szCs w:val="24"/>
        </w:rPr>
        <w:t xml:space="preserve">können zur Anlage gehören. </w:t>
      </w:r>
      <w:r w:rsidR="002C516D">
        <w:rPr>
          <w:rFonts w:cs="Arial"/>
          <w:szCs w:val="24"/>
        </w:rPr>
        <w:t xml:space="preserve">Dieser letzte Aspekt wird in den </w:t>
      </w:r>
      <w:hyperlink r:id="rId16" w:history="1">
        <w:r w:rsidR="002C516D" w:rsidRPr="0060600F">
          <w:rPr>
            <w:rStyle w:val="Hyperlink"/>
            <w:rFonts w:cs="Arial"/>
            <w:szCs w:val="24"/>
          </w:rPr>
          <w:t>Hinweisen der Abteilung Forstdirektion des Regierungspräsidiums</w:t>
        </w:r>
        <w:r w:rsidR="00006D94">
          <w:rPr>
            <w:rStyle w:val="Hyperlink"/>
            <w:rFonts w:cs="Arial"/>
            <w:szCs w:val="24"/>
          </w:rPr>
          <w:t xml:space="preserve"> Freiburg</w:t>
        </w:r>
        <w:r w:rsidR="002C516D" w:rsidRPr="0060600F">
          <w:rPr>
            <w:rStyle w:val="Hyperlink"/>
            <w:rFonts w:cs="Arial"/>
            <w:szCs w:val="24"/>
          </w:rPr>
          <w:t xml:space="preserve"> zum Genehmigungsverfahren von Windenergieanlagen im Wald</w:t>
        </w:r>
      </w:hyperlink>
      <w:r w:rsidR="002C516D">
        <w:rPr>
          <w:rFonts w:cs="Arial"/>
          <w:szCs w:val="24"/>
        </w:rPr>
        <w:t xml:space="preserve"> konkretisiert. </w:t>
      </w:r>
    </w:p>
    <w:p w14:paraId="3562B40D" w14:textId="77777777" w:rsidR="00F9080D" w:rsidRDefault="00F9080D" w:rsidP="00CC1C3B">
      <w:pPr>
        <w:spacing w:line="360" w:lineRule="atLeast"/>
        <w:jc w:val="both"/>
        <w:rPr>
          <w:rFonts w:cs="Arial"/>
          <w:szCs w:val="24"/>
        </w:rPr>
      </w:pPr>
    </w:p>
    <w:p w14:paraId="5868DB85" w14:textId="77777777" w:rsidR="006B63D3" w:rsidRDefault="006B63D3" w:rsidP="00CC1C3B">
      <w:pPr>
        <w:spacing w:line="360" w:lineRule="atLeast"/>
        <w:jc w:val="both"/>
        <w:rPr>
          <w:rFonts w:cs="Arial"/>
          <w:szCs w:val="24"/>
        </w:rPr>
      </w:pPr>
    </w:p>
    <w:p w14:paraId="0F96E9B6" w14:textId="77777777" w:rsidR="006B63D3" w:rsidRPr="00CC1C3B" w:rsidRDefault="006B63D3" w:rsidP="00CC1C3B">
      <w:pPr>
        <w:spacing w:line="360" w:lineRule="atLeast"/>
        <w:jc w:val="both"/>
        <w:rPr>
          <w:rFonts w:cs="Arial"/>
          <w:szCs w:val="24"/>
        </w:rPr>
      </w:pPr>
    </w:p>
    <w:p w14:paraId="26A22AF2" w14:textId="77777777" w:rsidR="00CC1C3B" w:rsidRPr="00CC1C3B" w:rsidRDefault="00AA66DB" w:rsidP="000C26BF">
      <w:pPr>
        <w:pStyle w:val="UMberschrift2num-Arial-12pt"/>
      </w:pPr>
      <w:r w:rsidRPr="00CC1C3B">
        <w:lastRenderedPageBreak/>
        <w:t xml:space="preserve"> </w:t>
      </w:r>
      <w:bookmarkStart w:id="0" w:name="Hervorhebungen"/>
      <w:r w:rsidR="00CC1C3B" w:rsidRPr="001739C9">
        <w:rPr>
          <w:shd w:val="clear" w:color="auto" w:fill="D9D9D9" w:themeFill="background1" w:themeFillShade="D9"/>
        </w:rPr>
        <w:t>Hauptansprechpartner</w:t>
      </w:r>
      <w:bookmarkEnd w:id="0"/>
      <w:r w:rsidR="00CC1C3B" w:rsidRPr="001739C9">
        <w:rPr>
          <w:shd w:val="clear" w:color="auto" w:fill="D9D9D9" w:themeFill="background1" w:themeFillShade="D9"/>
        </w:rPr>
        <w:t xml:space="preserve">  </w:t>
      </w:r>
    </w:p>
    <w:p w14:paraId="38E86BAD" w14:textId="77777777" w:rsidR="00401945" w:rsidRDefault="00401945" w:rsidP="00CC1C3B">
      <w:pPr>
        <w:spacing w:line="360" w:lineRule="atLeast"/>
        <w:jc w:val="both"/>
        <w:rPr>
          <w:rFonts w:cs="Arial"/>
          <w:szCs w:val="24"/>
        </w:rPr>
      </w:pPr>
    </w:p>
    <w:p w14:paraId="36563FAF" w14:textId="2A420EB8" w:rsidR="00501629" w:rsidRDefault="005B12C2" w:rsidP="00CC1C3B">
      <w:pPr>
        <w:spacing w:line="360" w:lineRule="atLeast"/>
        <w:jc w:val="both"/>
        <w:rPr>
          <w:rFonts w:cs="Arial"/>
          <w:szCs w:val="24"/>
        </w:rPr>
      </w:pPr>
      <w:r>
        <w:rPr>
          <w:rFonts w:cs="Arial"/>
          <w:szCs w:val="24"/>
        </w:rPr>
        <w:t xml:space="preserve">In Baden-Württemberg sind die unteren Immissionsschutzbehörden bei den 44 Stadt- und Landkreisen für die Genehmigung von </w:t>
      </w:r>
      <w:r w:rsidR="0060600F">
        <w:rPr>
          <w:rFonts w:cs="Arial"/>
          <w:szCs w:val="24"/>
        </w:rPr>
        <w:t>WEA</w:t>
      </w:r>
      <w:r>
        <w:rPr>
          <w:rFonts w:cs="Arial"/>
          <w:szCs w:val="24"/>
        </w:rPr>
        <w:t xml:space="preserve"> zuständig. </w:t>
      </w:r>
      <w:r w:rsidR="00CC1C3B" w:rsidRPr="00F95A10">
        <w:rPr>
          <w:rFonts w:cs="Arial"/>
          <w:szCs w:val="24"/>
        </w:rPr>
        <w:t xml:space="preserve">Die Ansprechpartner innerhalb der Behörde und des </w:t>
      </w:r>
      <w:r w:rsidR="005701A1">
        <w:rPr>
          <w:rFonts w:cs="Arial"/>
          <w:szCs w:val="24"/>
        </w:rPr>
        <w:t>Vorhabenträgers</w:t>
      </w:r>
      <w:r w:rsidR="00CC1C3B" w:rsidRPr="00F95A10">
        <w:rPr>
          <w:rFonts w:cs="Arial"/>
          <w:szCs w:val="24"/>
        </w:rPr>
        <w:t xml:space="preserve"> sollen so früh wie möglich kommuniziert und deren Rollen- und Aufgabenverteilung im Genehmigungsverfahren zusammen besprochen und festgelegt werden. </w:t>
      </w:r>
      <w:r w:rsidR="004666D1">
        <w:rPr>
          <w:rFonts w:cs="Arial"/>
          <w:szCs w:val="24"/>
        </w:rPr>
        <w:t xml:space="preserve">Sofern eine Projektplanung in den örtlichen Zuständigkeitsbereich mehrerer unterer Immissionsschutzbehörden fällt, ist nach § 3 Abs. 2 </w:t>
      </w:r>
      <w:r w:rsidR="002D7958">
        <w:rPr>
          <w:rFonts w:cs="Arial"/>
          <w:szCs w:val="24"/>
        </w:rPr>
        <w:t>Landesverwaltungsverfahrensgesetz (</w:t>
      </w:r>
      <w:r w:rsidR="004666D1">
        <w:rPr>
          <w:rFonts w:cs="Arial"/>
          <w:szCs w:val="24"/>
        </w:rPr>
        <w:t>LVwVfG</w:t>
      </w:r>
      <w:r w:rsidR="002D7958">
        <w:rPr>
          <w:rFonts w:cs="Arial"/>
          <w:szCs w:val="24"/>
        </w:rPr>
        <w:t>)</w:t>
      </w:r>
      <w:r w:rsidR="004666D1">
        <w:rPr>
          <w:rFonts w:cs="Arial"/>
          <w:szCs w:val="24"/>
        </w:rPr>
        <w:t xml:space="preserve"> grundsätzlich die Behörde zuständig, die zuerst mit der Sache befasst war. Es ist in diesen Fällen zielführend, wenn die betreffenden Genehmigungsbehörden sich im Vorfeld auf eine verfahrensführende Stelle verständigen und der Antrag bei dieser eingereicht wird.</w:t>
      </w:r>
      <w:r w:rsidR="00DB1958">
        <w:rPr>
          <w:rFonts w:cs="Arial"/>
          <w:szCs w:val="24"/>
        </w:rPr>
        <w:t xml:space="preserve"> Das Ergebnis dieser Verständigung sollte dokumentiert und aktenkundig gemacht werden.</w:t>
      </w:r>
      <w:r w:rsidR="004666D1">
        <w:rPr>
          <w:rFonts w:cs="Arial"/>
          <w:szCs w:val="24"/>
        </w:rPr>
        <w:t xml:space="preserve"> Die </w:t>
      </w:r>
      <w:r w:rsidR="009037D8">
        <w:rPr>
          <w:rFonts w:cs="Arial"/>
          <w:szCs w:val="24"/>
        </w:rPr>
        <w:t xml:space="preserve">StEWK </w:t>
      </w:r>
      <w:r w:rsidR="004666D1">
        <w:rPr>
          <w:rFonts w:cs="Arial"/>
          <w:szCs w:val="24"/>
        </w:rPr>
        <w:t>können in diesen Konstellationen unterstützend herangezogen werden.</w:t>
      </w:r>
      <w:r w:rsidR="00CC1C3B" w:rsidRPr="00F95A10">
        <w:rPr>
          <w:rFonts w:cs="Arial"/>
          <w:szCs w:val="24"/>
        </w:rPr>
        <w:t xml:space="preserve"> </w:t>
      </w:r>
    </w:p>
    <w:p w14:paraId="25D5F823" w14:textId="77777777" w:rsidR="00501629" w:rsidRDefault="00501629" w:rsidP="00CC1C3B">
      <w:pPr>
        <w:spacing w:line="360" w:lineRule="atLeast"/>
        <w:jc w:val="both"/>
        <w:rPr>
          <w:rFonts w:cs="Arial"/>
          <w:szCs w:val="24"/>
        </w:rPr>
      </w:pPr>
    </w:p>
    <w:p w14:paraId="34A0AA16" w14:textId="38A546C0" w:rsidR="0035255F" w:rsidRDefault="0035255F" w:rsidP="00CC1C3B">
      <w:pPr>
        <w:spacing w:line="360" w:lineRule="atLeast"/>
        <w:jc w:val="both"/>
        <w:rPr>
          <w:rFonts w:cs="Arial"/>
          <w:szCs w:val="24"/>
        </w:rPr>
      </w:pPr>
      <w:r w:rsidRPr="0035255F">
        <w:rPr>
          <w:rFonts w:cs="Arial"/>
          <w:szCs w:val="24"/>
        </w:rPr>
        <w:t>Auf Antrag des Vorhabenträgers ist nach § 10</w:t>
      </w:r>
      <w:r>
        <w:rPr>
          <w:rFonts w:cs="Arial"/>
          <w:szCs w:val="24"/>
        </w:rPr>
        <w:t xml:space="preserve">a </w:t>
      </w:r>
      <w:r w:rsidRPr="0035255F">
        <w:rPr>
          <w:rFonts w:cs="Arial"/>
          <w:szCs w:val="24"/>
        </w:rPr>
        <w:t xml:space="preserve">Absatz </w:t>
      </w:r>
      <w:r>
        <w:rPr>
          <w:rFonts w:cs="Arial"/>
          <w:szCs w:val="24"/>
        </w:rPr>
        <w:t>2</w:t>
      </w:r>
      <w:r w:rsidRPr="0035255F">
        <w:rPr>
          <w:rFonts w:cs="Arial"/>
          <w:szCs w:val="24"/>
        </w:rPr>
        <w:t xml:space="preserve"> BImSchG das immissionsschutzrechtliche Genehmigungsverfahren </w:t>
      </w:r>
      <w:r>
        <w:rPr>
          <w:rFonts w:cs="Arial"/>
          <w:szCs w:val="24"/>
        </w:rPr>
        <w:t xml:space="preserve">über </w:t>
      </w:r>
      <w:r w:rsidRPr="0035255F">
        <w:rPr>
          <w:rFonts w:cs="Arial"/>
          <w:szCs w:val="24"/>
        </w:rPr>
        <w:t xml:space="preserve">eine einheitliche Stelle (vgl. §§ 71a ff </w:t>
      </w:r>
      <w:r w:rsidR="002D7958" w:rsidRPr="002D7958">
        <w:rPr>
          <w:rFonts w:cs="Arial"/>
          <w:szCs w:val="24"/>
        </w:rPr>
        <w:t>LVwVfG</w:t>
      </w:r>
      <w:r w:rsidRPr="0035255F">
        <w:rPr>
          <w:rFonts w:cs="Arial"/>
          <w:szCs w:val="24"/>
        </w:rPr>
        <w:t xml:space="preserve">) </w:t>
      </w:r>
      <w:r>
        <w:rPr>
          <w:rFonts w:cs="Arial"/>
          <w:szCs w:val="24"/>
        </w:rPr>
        <w:t>abzuwickeln</w:t>
      </w:r>
      <w:r w:rsidRPr="0035255F">
        <w:rPr>
          <w:rFonts w:cs="Arial"/>
          <w:szCs w:val="24"/>
        </w:rPr>
        <w:t xml:space="preserve">. Sie ist Anlaufstelle für den Vorhabenträger mit einer koordinierenden, beratenden und unterstützenden Funktion im Sinne einer „Servicestelle“. Eine Zuständigkeitsverlagerung auf die einheitliche Stelle findet nicht statt. Der einheitlichen Stelle kommt daher nach der gesetzlichen Regelung grundsätzlich keine Entscheidungskompetenz zu. </w:t>
      </w:r>
    </w:p>
    <w:p w14:paraId="4634AB65" w14:textId="77777777" w:rsidR="0035255F" w:rsidRDefault="0035255F" w:rsidP="00CC1C3B">
      <w:pPr>
        <w:spacing w:line="360" w:lineRule="atLeast"/>
        <w:jc w:val="both"/>
        <w:rPr>
          <w:rFonts w:cs="Arial"/>
          <w:szCs w:val="24"/>
        </w:rPr>
      </w:pPr>
    </w:p>
    <w:p w14:paraId="244E2BD7" w14:textId="6E94B966" w:rsidR="0035255F" w:rsidRDefault="00FB0C2E" w:rsidP="00CC1C3B">
      <w:pPr>
        <w:spacing w:line="360" w:lineRule="atLeast"/>
        <w:jc w:val="both"/>
        <w:rPr>
          <w:rFonts w:cs="Arial"/>
          <w:szCs w:val="24"/>
        </w:rPr>
      </w:pPr>
      <w:r>
        <w:rPr>
          <w:rFonts w:cs="Arial"/>
          <w:szCs w:val="24"/>
        </w:rPr>
        <w:t>Im</w:t>
      </w:r>
      <w:r w:rsidR="0035255F" w:rsidRPr="0035255F">
        <w:rPr>
          <w:rFonts w:cs="Arial"/>
          <w:szCs w:val="24"/>
        </w:rPr>
        <w:t xml:space="preserve"> Bereich des Immissionsschutzrechts </w:t>
      </w:r>
      <w:r>
        <w:rPr>
          <w:rFonts w:cs="Arial"/>
          <w:szCs w:val="24"/>
        </w:rPr>
        <w:t xml:space="preserve">nehmen </w:t>
      </w:r>
      <w:r w:rsidR="0035255F" w:rsidRPr="0035255F">
        <w:rPr>
          <w:rFonts w:cs="Arial"/>
          <w:szCs w:val="24"/>
        </w:rPr>
        <w:t xml:space="preserve">die Immissionsschutzbehörden bereits nach der geltenden Rechtslage </w:t>
      </w:r>
      <w:r>
        <w:rPr>
          <w:rFonts w:cs="Arial"/>
          <w:szCs w:val="24"/>
        </w:rPr>
        <w:t>(§ 10 Abs. 5 Satz 11 BImSchG)</w:t>
      </w:r>
      <w:r w:rsidRPr="0035255F">
        <w:rPr>
          <w:rFonts w:cs="Arial"/>
          <w:szCs w:val="24"/>
        </w:rPr>
        <w:t xml:space="preserve"> </w:t>
      </w:r>
      <w:r w:rsidR="0035255F" w:rsidRPr="0035255F">
        <w:rPr>
          <w:rFonts w:cs="Arial"/>
          <w:szCs w:val="24"/>
        </w:rPr>
        <w:t>die Koordinierung auch von Zulassungsverfahren, die nicht im immissionsschutzrechtlichen Genehmigungsverfahren konzentriert werden, wahr</w:t>
      </w:r>
      <w:r>
        <w:rPr>
          <w:rFonts w:cs="Arial"/>
          <w:szCs w:val="24"/>
        </w:rPr>
        <w:t>.</w:t>
      </w:r>
      <w:r w:rsidR="0035255F" w:rsidRPr="0035255F">
        <w:rPr>
          <w:rFonts w:cs="Arial"/>
          <w:szCs w:val="24"/>
        </w:rPr>
        <w:t xml:space="preserve"> </w:t>
      </w:r>
      <w:r w:rsidRPr="00DF47B2">
        <w:rPr>
          <w:rFonts w:cs="Arial"/>
          <w:szCs w:val="24"/>
        </w:rPr>
        <w:t xml:space="preserve">Mit dem </w:t>
      </w:r>
      <w:hyperlink r:id="rId17" w:history="1">
        <w:r w:rsidRPr="008376CB">
          <w:rPr>
            <w:rStyle w:val="Hyperlink"/>
            <w:rFonts w:cs="Arial"/>
            <w:szCs w:val="24"/>
          </w:rPr>
          <w:t>Verfahrenshandbuch gemäß § 10 Abs. 5a BImSchG für Biogasanlagen</w:t>
        </w:r>
      </w:hyperlink>
      <w:r w:rsidRPr="00DF47B2">
        <w:rPr>
          <w:rFonts w:cs="Arial"/>
          <w:szCs w:val="24"/>
        </w:rPr>
        <w:t xml:space="preserve"> des Umweltministeriums vom Januar 2023 wurde</w:t>
      </w:r>
      <w:r w:rsidR="005912B3" w:rsidRPr="00DF47B2">
        <w:rPr>
          <w:rFonts w:cs="Arial"/>
          <w:szCs w:val="24"/>
        </w:rPr>
        <w:t xml:space="preserve"> seinerzeit</w:t>
      </w:r>
      <w:r w:rsidRPr="00DF47B2">
        <w:rPr>
          <w:rFonts w:cs="Arial"/>
          <w:szCs w:val="24"/>
        </w:rPr>
        <w:t xml:space="preserve"> </w:t>
      </w:r>
      <w:r w:rsidR="0035255F" w:rsidRPr="00DF47B2">
        <w:rPr>
          <w:rFonts w:cs="Arial"/>
          <w:szCs w:val="24"/>
        </w:rPr>
        <w:t xml:space="preserve">in Baden-Württemberg die jeweils zuständige Immissionsschutzbehörde als einheitliche Stelle benannt. </w:t>
      </w:r>
      <w:r w:rsidRPr="00DF47B2">
        <w:rPr>
          <w:rFonts w:cs="Arial"/>
          <w:szCs w:val="24"/>
        </w:rPr>
        <w:t xml:space="preserve">Dies gilt entsprechend </w:t>
      </w:r>
      <w:r w:rsidR="008376CB">
        <w:rPr>
          <w:rFonts w:cs="Arial"/>
          <w:szCs w:val="24"/>
        </w:rPr>
        <w:t xml:space="preserve">auch </w:t>
      </w:r>
      <w:r w:rsidRPr="00DF47B2">
        <w:rPr>
          <w:rFonts w:cs="Arial"/>
          <w:szCs w:val="24"/>
        </w:rPr>
        <w:t xml:space="preserve">für </w:t>
      </w:r>
      <w:r w:rsidR="008376CB">
        <w:rPr>
          <w:rFonts w:cs="Arial"/>
          <w:szCs w:val="24"/>
        </w:rPr>
        <w:t>WEA bei der Anwendung des</w:t>
      </w:r>
      <w:r w:rsidRPr="00DF47B2">
        <w:rPr>
          <w:rFonts w:cs="Arial"/>
          <w:szCs w:val="24"/>
        </w:rPr>
        <w:t xml:space="preserve"> neuen § 10a BImSchG.</w:t>
      </w:r>
      <w:r>
        <w:rPr>
          <w:rFonts w:cs="Arial"/>
          <w:szCs w:val="24"/>
        </w:rPr>
        <w:t xml:space="preserve"> </w:t>
      </w:r>
    </w:p>
    <w:p w14:paraId="1C082457" w14:textId="77777777" w:rsidR="0035255F" w:rsidRDefault="0035255F" w:rsidP="00CC1C3B">
      <w:pPr>
        <w:spacing w:line="360" w:lineRule="atLeast"/>
        <w:jc w:val="both"/>
        <w:rPr>
          <w:rFonts w:cs="Arial"/>
          <w:szCs w:val="24"/>
        </w:rPr>
      </w:pPr>
    </w:p>
    <w:p w14:paraId="5528CB96" w14:textId="7DC9DE6E" w:rsidR="00501629" w:rsidRDefault="0035255F" w:rsidP="00CC1C3B">
      <w:pPr>
        <w:spacing w:line="360" w:lineRule="atLeast"/>
        <w:jc w:val="both"/>
        <w:rPr>
          <w:rFonts w:cs="Arial"/>
          <w:szCs w:val="24"/>
        </w:rPr>
      </w:pPr>
      <w:r w:rsidRPr="0035255F">
        <w:rPr>
          <w:rFonts w:cs="Arial"/>
          <w:szCs w:val="24"/>
        </w:rPr>
        <w:t xml:space="preserve">Die Koordinierungsaufgaben der Genehmigungsbehörde als einheitliche Stelle beziehen sich insbesondere auf Zulassungen, die nicht von der Konzentrationswirkung gemäß § 13 BImSchG erfasst werden und daher separat außerhalb des immissionsschutzrechtlichen Genehmigungsverfahrens eingeholt werden </w:t>
      </w:r>
      <w:r>
        <w:rPr>
          <w:rFonts w:cs="Arial"/>
          <w:szCs w:val="24"/>
        </w:rPr>
        <w:t>müssen.</w:t>
      </w:r>
      <w:r w:rsidRPr="0035255F">
        <w:rPr>
          <w:rFonts w:cs="Arial"/>
          <w:szCs w:val="24"/>
        </w:rPr>
        <w:t xml:space="preserve"> </w:t>
      </w:r>
    </w:p>
    <w:p w14:paraId="19171056" w14:textId="6077A3E9" w:rsidR="00CC1C3B" w:rsidRDefault="00CC1C3B" w:rsidP="00CC1C3B">
      <w:pPr>
        <w:spacing w:line="360" w:lineRule="atLeast"/>
        <w:jc w:val="both"/>
        <w:rPr>
          <w:rFonts w:cs="Arial"/>
          <w:szCs w:val="24"/>
        </w:rPr>
      </w:pPr>
      <w:r w:rsidRPr="00F95A10">
        <w:rPr>
          <w:rFonts w:cs="Arial"/>
          <w:szCs w:val="24"/>
        </w:rPr>
        <w:lastRenderedPageBreak/>
        <w:t>Die Genehmigungsbehörde achtet darauf, dass ihr</w:t>
      </w:r>
      <w:r w:rsidR="00254F87">
        <w:rPr>
          <w:rFonts w:cs="Arial"/>
          <w:szCs w:val="24"/>
        </w:rPr>
        <w:t>e</w:t>
      </w:r>
      <w:r w:rsidRPr="00F95A10">
        <w:rPr>
          <w:rFonts w:cs="Arial"/>
          <w:szCs w:val="24"/>
        </w:rPr>
        <w:t xml:space="preserve"> </w:t>
      </w:r>
      <w:r w:rsidR="00254F87" w:rsidRPr="00F95A10">
        <w:rPr>
          <w:rFonts w:cs="Arial"/>
          <w:szCs w:val="24"/>
        </w:rPr>
        <w:t>Hauptansprech</w:t>
      </w:r>
      <w:r w:rsidR="00254F87">
        <w:rPr>
          <w:rFonts w:cs="Arial"/>
          <w:szCs w:val="24"/>
        </w:rPr>
        <w:t>person</w:t>
      </w:r>
      <w:r w:rsidR="00254F87" w:rsidRPr="00F95A10">
        <w:rPr>
          <w:rFonts w:cs="Arial"/>
          <w:szCs w:val="24"/>
        </w:rPr>
        <w:t xml:space="preserve"> </w:t>
      </w:r>
      <w:r w:rsidRPr="00F95A10">
        <w:rPr>
          <w:rFonts w:cs="Arial"/>
          <w:szCs w:val="24"/>
        </w:rPr>
        <w:t xml:space="preserve">ein ausreichendes fachliches Wissen mitbringt sowie die zeitliche Kapazität für das nötige </w:t>
      </w:r>
      <w:r w:rsidRPr="0061658D">
        <w:rPr>
          <w:rFonts w:cs="Arial"/>
          <w:szCs w:val="24"/>
        </w:rPr>
        <w:t>proaktive Projektmanagement</w:t>
      </w:r>
      <w:r w:rsidR="00E83B6E" w:rsidRPr="0061658D">
        <w:rPr>
          <w:rFonts w:cs="Arial"/>
          <w:szCs w:val="24"/>
        </w:rPr>
        <w:t xml:space="preserve"> hat</w:t>
      </w:r>
      <w:r w:rsidRPr="0061658D">
        <w:rPr>
          <w:rFonts w:cs="Arial"/>
          <w:szCs w:val="24"/>
        </w:rPr>
        <w:t xml:space="preserve">. </w:t>
      </w:r>
      <w:r w:rsidR="00254F87">
        <w:rPr>
          <w:rFonts w:cs="Arial"/>
          <w:szCs w:val="24"/>
        </w:rPr>
        <w:t>Sie</w:t>
      </w:r>
      <w:r w:rsidR="00254F87" w:rsidRPr="0061658D">
        <w:rPr>
          <w:rFonts w:cs="Arial"/>
          <w:szCs w:val="24"/>
        </w:rPr>
        <w:t xml:space="preserve"> </w:t>
      </w:r>
      <w:r w:rsidRPr="0061658D">
        <w:rPr>
          <w:rFonts w:cs="Arial"/>
          <w:szCs w:val="24"/>
        </w:rPr>
        <w:t>soll zudem von Hausspitze/Dezernat mit</w:t>
      </w:r>
      <w:r w:rsidRPr="00F95A10">
        <w:rPr>
          <w:rFonts w:cs="Arial"/>
          <w:szCs w:val="24"/>
        </w:rPr>
        <w:t xml:space="preserve"> der </w:t>
      </w:r>
      <w:r w:rsidRPr="0061658D">
        <w:rPr>
          <w:rFonts w:cs="Arial"/>
          <w:szCs w:val="24"/>
        </w:rPr>
        <w:t xml:space="preserve">entsprechenden Legitimation ausgestattet sein, um einerseits </w:t>
      </w:r>
      <w:r w:rsidR="00EE2CCC" w:rsidRPr="0061658D">
        <w:rPr>
          <w:rFonts w:cs="Arial"/>
          <w:szCs w:val="24"/>
        </w:rPr>
        <w:t>gegenüber dem</w:t>
      </w:r>
      <w:r w:rsidRPr="0061658D">
        <w:rPr>
          <w:rFonts w:cs="Arial"/>
          <w:szCs w:val="24"/>
        </w:rPr>
        <w:t xml:space="preserve"> </w:t>
      </w:r>
      <w:r w:rsidR="00EE2CCC" w:rsidRPr="0061658D">
        <w:rPr>
          <w:rFonts w:cs="Arial"/>
          <w:szCs w:val="24"/>
        </w:rPr>
        <w:t xml:space="preserve">Vorhabenträger </w:t>
      </w:r>
      <w:r w:rsidRPr="0061658D">
        <w:rPr>
          <w:rFonts w:cs="Arial"/>
          <w:szCs w:val="24"/>
        </w:rPr>
        <w:t xml:space="preserve">verbindliche Aussagen treffen zu können und um andererseits gegenüber den </w:t>
      </w:r>
      <w:proofErr w:type="spellStart"/>
      <w:r w:rsidR="00501629" w:rsidRPr="0061658D">
        <w:rPr>
          <w:rFonts w:cs="Arial"/>
          <w:szCs w:val="24"/>
        </w:rPr>
        <w:t>TöB</w:t>
      </w:r>
      <w:proofErr w:type="spellEnd"/>
      <w:r w:rsidRPr="0061658D">
        <w:rPr>
          <w:rFonts w:cs="Arial"/>
          <w:szCs w:val="24"/>
        </w:rPr>
        <w:t xml:space="preserve"> mit der für eine zielgerichtete Koordination erforderlichen Entschlossenheit</w:t>
      </w:r>
      <w:r w:rsidR="00303CB6">
        <w:rPr>
          <w:rFonts w:cs="Arial"/>
          <w:szCs w:val="24"/>
        </w:rPr>
        <w:t xml:space="preserve"> und Verbindlichkeit</w:t>
      </w:r>
      <w:r w:rsidRPr="0061658D">
        <w:rPr>
          <w:rFonts w:cs="Arial"/>
          <w:szCs w:val="24"/>
        </w:rPr>
        <w:t xml:space="preserve"> auftreten zu können.</w:t>
      </w:r>
      <w:r w:rsidRPr="00F95A10">
        <w:rPr>
          <w:rFonts w:cs="Arial"/>
          <w:szCs w:val="24"/>
        </w:rPr>
        <w:t xml:space="preserve"> </w:t>
      </w:r>
      <w:r w:rsidR="008F467E">
        <w:rPr>
          <w:rFonts w:cs="Arial"/>
          <w:szCs w:val="24"/>
        </w:rPr>
        <w:t>In</w:t>
      </w:r>
      <w:r w:rsidR="008F467E" w:rsidRPr="00F95A10">
        <w:rPr>
          <w:rFonts w:cs="Arial"/>
          <w:szCs w:val="24"/>
        </w:rPr>
        <w:t xml:space="preserve"> Bezug auf die Ansprechpartner</w:t>
      </w:r>
      <w:r w:rsidR="008F467E">
        <w:rPr>
          <w:rFonts w:cs="Arial"/>
          <w:szCs w:val="24"/>
        </w:rPr>
        <w:t xml:space="preserve"> sollte</w:t>
      </w:r>
      <w:r w:rsidR="008F467E" w:rsidRPr="00F95A10">
        <w:rPr>
          <w:rFonts w:cs="Arial"/>
          <w:szCs w:val="24"/>
        </w:rPr>
        <w:t xml:space="preserve"> </w:t>
      </w:r>
      <w:r w:rsidR="008F467E" w:rsidRPr="0061658D">
        <w:rPr>
          <w:rFonts w:cs="Arial"/>
          <w:szCs w:val="24"/>
        </w:rPr>
        <w:t>Kontinuität in einem</w:t>
      </w:r>
      <w:r w:rsidR="008F467E" w:rsidRPr="00F95A10">
        <w:rPr>
          <w:rFonts w:cs="Arial"/>
          <w:szCs w:val="24"/>
        </w:rPr>
        <w:t xml:space="preserve"> Verfahren </w:t>
      </w:r>
      <w:r w:rsidR="008F467E">
        <w:rPr>
          <w:rFonts w:cs="Arial"/>
          <w:szCs w:val="24"/>
        </w:rPr>
        <w:t>gewährleistet sein</w:t>
      </w:r>
      <w:r w:rsidR="008F467E" w:rsidRPr="00F95A10">
        <w:rPr>
          <w:rFonts w:cs="Arial"/>
          <w:szCs w:val="24"/>
        </w:rPr>
        <w:t>.</w:t>
      </w:r>
    </w:p>
    <w:p w14:paraId="24DA7ABA" w14:textId="77777777" w:rsidR="00501629" w:rsidRPr="00F95A10" w:rsidRDefault="00501629" w:rsidP="00CC1C3B">
      <w:pPr>
        <w:spacing w:line="360" w:lineRule="atLeast"/>
        <w:jc w:val="both"/>
        <w:rPr>
          <w:rFonts w:cs="Arial"/>
          <w:szCs w:val="24"/>
        </w:rPr>
      </w:pPr>
    </w:p>
    <w:p w14:paraId="6CA2EFFC" w14:textId="77777777" w:rsidR="00CC1C3B" w:rsidRDefault="00CC1C3B" w:rsidP="00CC1C3B">
      <w:pPr>
        <w:pStyle w:val="BW1Standard"/>
        <w:rPr>
          <w:u w:val="single"/>
        </w:rPr>
      </w:pPr>
      <w:r w:rsidRPr="00F95A10">
        <w:t xml:space="preserve">Mit Blick auf eine </w:t>
      </w:r>
      <w:r w:rsidR="00D220F0" w:rsidRPr="007C06DC">
        <w:t>operative</w:t>
      </w:r>
      <w:r w:rsidRPr="007C06DC">
        <w:t xml:space="preserve"> Kompetenz im Projektmanagement </w:t>
      </w:r>
      <w:r w:rsidR="00303CB6" w:rsidRPr="007C06DC">
        <w:t>kann</w:t>
      </w:r>
      <w:r w:rsidRPr="007C06DC">
        <w:t xml:space="preserve"> zudem die Bildung einer (temporären) Projektorganisation neben der Linienorganisation sinnvoll</w:t>
      </w:r>
      <w:r w:rsidR="00303CB6" w:rsidRPr="007C06DC">
        <w:t xml:space="preserve"> sein</w:t>
      </w:r>
      <w:r w:rsidRPr="007C06DC">
        <w:t>, um das Projekt zielführend</w:t>
      </w:r>
      <w:r w:rsidRPr="00F95A10">
        <w:t xml:space="preserve"> </w:t>
      </w:r>
      <w:r w:rsidR="00C46115">
        <w:t>realisieren</w:t>
      </w:r>
      <w:r w:rsidRPr="00F95A10">
        <w:t xml:space="preserve"> zu können.</w:t>
      </w:r>
    </w:p>
    <w:p w14:paraId="41DD7C26" w14:textId="77777777" w:rsidR="00CC1C3B" w:rsidRDefault="00CC1C3B" w:rsidP="0016672A">
      <w:pPr>
        <w:pStyle w:val="BW1Standard"/>
        <w:rPr>
          <w:u w:val="single"/>
        </w:rPr>
      </w:pPr>
    </w:p>
    <w:p w14:paraId="68F0A355" w14:textId="77777777" w:rsidR="00E43B3C" w:rsidRPr="00F95A10" w:rsidRDefault="001739C9" w:rsidP="000C26BF">
      <w:pPr>
        <w:pStyle w:val="UMberschrift2num-Arial-12pt"/>
      </w:pPr>
      <w:bookmarkStart w:id="1" w:name="fruehzeitig"/>
      <w:r>
        <w:t>F</w:t>
      </w:r>
      <w:r w:rsidR="00E43B3C" w:rsidRPr="00F95A10">
        <w:t xml:space="preserve">rühzeitige </w:t>
      </w:r>
      <w:r w:rsidR="00E43B3C" w:rsidRPr="001739C9">
        <w:t>Kontaktaufnahme</w:t>
      </w:r>
      <w:bookmarkEnd w:id="1"/>
    </w:p>
    <w:p w14:paraId="21DC1C5B" w14:textId="77777777" w:rsidR="001A3CD2" w:rsidRDefault="001A3CD2" w:rsidP="00E43B3C">
      <w:pPr>
        <w:spacing w:line="360" w:lineRule="atLeast"/>
        <w:jc w:val="both"/>
        <w:rPr>
          <w:rFonts w:cs="Arial"/>
          <w:szCs w:val="24"/>
        </w:rPr>
      </w:pPr>
    </w:p>
    <w:p w14:paraId="72B6D270" w14:textId="31FD9197" w:rsidR="00E43B3C" w:rsidRDefault="00E43B3C" w:rsidP="00E43B3C">
      <w:pPr>
        <w:spacing w:line="360" w:lineRule="atLeast"/>
        <w:jc w:val="both"/>
        <w:rPr>
          <w:rFonts w:cs="Arial"/>
          <w:szCs w:val="24"/>
        </w:rPr>
      </w:pPr>
      <w:r w:rsidRPr="00F95A10">
        <w:rPr>
          <w:rFonts w:cs="Arial"/>
          <w:szCs w:val="24"/>
        </w:rPr>
        <w:t xml:space="preserve">Eine frühzeitige Kontaktaufnahme ist der Grundstein für ein möglichst reibungslos ablaufendes Genehmigungsverfahren. </w:t>
      </w:r>
      <w:r w:rsidR="00254F87">
        <w:rPr>
          <w:rFonts w:cs="Arial"/>
          <w:szCs w:val="24"/>
        </w:rPr>
        <w:t>Der Vorhabenträger sollte</w:t>
      </w:r>
      <w:r w:rsidRPr="00F95A10">
        <w:rPr>
          <w:rFonts w:cs="Arial"/>
          <w:szCs w:val="24"/>
        </w:rPr>
        <w:t xml:space="preserve"> </w:t>
      </w:r>
      <w:r w:rsidR="00254F87">
        <w:rPr>
          <w:rFonts w:cs="Arial"/>
          <w:szCs w:val="24"/>
        </w:rPr>
        <w:t xml:space="preserve">die </w:t>
      </w:r>
      <w:r w:rsidR="001A3CD2">
        <w:rPr>
          <w:rFonts w:cs="Arial"/>
          <w:szCs w:val="24"/>
        </w:rPr>
        <w:t>Genehmigungsb</w:t>
      </w:r>
      <w:r w:rsidRPr="00F95A10">
        <w:rPr>
          <w:rFonts w:cs="Arial"/>
          <w:szCs w:val="24"/>
        </w:rPr>
        <w:t xml:space="preserve">ehörde bereits in den Entscheidungsprozess zur konkreten Standortwahl </w:t>
      </w:r>
      <w:r w:rsidR="00254F87">
        <w:rPr>
          <w:rFonts w:cs="Arial"/>
          <w:szCs w:val="24"/>
        </w:rPr>
        <w:t>einbinden</w:t>
      </w:r>
      <w:r w:rsidRPr="00F95A10">
        <w:rPr>
          <w:rFonts w:cs="Arial"/>
          <w:szCs w:val="24"/>
        </w:rPr>
        <w:t xml:space="preserve">, um zu vermeiden, dass auf Seiten des </w:t>
      </w:r>
      <w:r w:rsidR="00D82C22">
        <w:rPr>
          <w:rFonts w:cs="Arial"/>
          <w:szCs w:val="24"/>
        </w:rPr>
        <w:t>Vorhabenträgers</w:t>
      </w:r>
      <w:r w:rsidR="00D82C22" w:rsidRPr="00F95A10">
        <w:rPr>
          <w:rFonts w:cs="Arial"/>
          <w:szCs w:val="24"/>
        </w:rPr>
        <w:t xml:space="preserve"> </w:t>
      </w:r>
      <w:r w:rsidRPr="00F95A10">
        <w:rPr>
          <w:rFonts w:cs="Arial"/>
          <w:szCs w:val="24"/>
        </w:rPr>
        <w:t xml:space="preserve">Ressourcen für ein Projekt gebunden werden, dem möglicherweise planungsrechtliche oder andere Gründe von vornherein entgegenstehen. Hier kann die </w:t>
      </w:r>
      <w:r w:rsidR="001A3CD2">
        <w:rPr>
          <w:rFonts w:cs="Arial"/>
          <w:szCs w:val="24"/>
        </w:rPr>
        <w:t>Genehmigungsb</w:t>
      </w:r>
      <w:r w:rsidRPr="00F95A10">
        <w:rPr>
          <w:rFonts w:cs="Arial"/>
          <w:szCs w:val="24"/>
        </w:rPr>
        <w:t xml:space="preserve">ehörde bereits zu einem sehr frühen Zeitpunkt auf mögliche Fallstricke hinweisen und spätere Enttäuschungen vermeiden. </w:t>
      </w:r>
      <w:r w:rsidR="008944EA">
        <w:rPr>
          <w:rFonts w:cs="Arial"/>
          <w:szCs w:val="24"/>
        </w:rPr>
        <w:t xml:space="preserve">Nach Möglichkeit sind </w:t>
      </w:r>
      <w:r w:rsidR="00D34C67">
        <w:rPr>
          <w:rFonts w:cs="Arial"/>
          <w:szCs w:val="24"/>
        </w:rPr>
        <w:t>bereits zu diesem Zeitpunkt einzelne</w:t>
      </w:r>
      <w:r w:rsidR="008944EA">
        <w:rPr>
          <w:rFonts w:cs="Arial"/>
          <w:szCs w:val="24"/>
        </w:rPr>
        <w:t xml:space="preserve"> betroffene Fachbehörden</w:t>
      </w:r>
      <w:r w:rsidR="002E0700">
        <w:rPr>
          <w:rFonts w:cs="Arial"/>
          <w:szCs w:val="24"/>
        </w:rPr>
        <w:t xml:space="preserve"> </w:t>
      </w:r>
      <w:r w:rsidR="008944EA">
        <w:rPr>
          <w:rFonts w:cs="Arial"/>
          <w:szCs w:val="24"/>
        </w:rPr>
        <w:t xml:space="preserve">zu beteiligen. </w:t>
      </w:r>
      <w:r w:rsidRPr="00F95A10">
        <w:rPr>
          <w:rFonts w:cs="Arial"/>
          <w:szCs w:val="24"/>
        </w:rPr>
        <w:t xml:space="preserve">Eine gemeinsame </w:t>
      </w:r>
      <w:r w:rsidRPr="00303CB6">
        <w:rPr>
          <w:rFonts w:cs="Arial"/>
          <w:szCs w:val="24"/>
        </w:rPr>
        <w:t>Evaluierung in Frage kommender Poten</w:t>
      </w:r>
      <w:r w:rsidR="001A3CD2">
        <w:rPr>
          <w:rFonts w:cs="Arial"/>
          <w:szCs w:val="24"/>
        </w:rPr>
        <w:t>z</w:t>
      </w:r>
      <w:r w:rsidRPr="00303CB6">
        <w:rPr>
          <w:rFonts w:cs="Arial"/>
          <w:szCs w:val="24"/>
        </w:rPr>
        <w:t>ialflächen</w:t>
      </w:r>
      <w:r w:rsidRPr="00F95A10">
        <w:rPr>
          <w:rFonts w:cs="Arial"/>
          <w:szCs w:val="24"/>
        </w:rPr>
        <w:t xml:space="preserve"> kann nicht nur zu einer erheblichen Zeitersparnis führen, sondern ermöglicht die Zusammenarbeit der Beteiligten an dem gemeinsamen „Projekt“ Genehmigungsverfahren. Voraussetzung hierfür ist selbstverständlich die zeitliche </w:t>
      </w:r>
      <w:r w:rsidR="00E83B6E">
        <w:rPr>
          <w:rFonts w:cs="Arial"/>
          <w:szCs w:val="24"/>
        </w:rPr>
        <w:t xml:space="preserve">und personelle </w:t>
      </w:r>
      <w:r w:rsidRPr="00F95A10">
        <w:rPr>
          <w:rFonts w:cs="Arial"/>
          <w:szCs w:val="24"/>
        </w:rPr>
        <w:t xml:space="preserve">Kapazität der </w:t>
      </w:r>
      <w:r w:rsidR="001A3CD2">
        <w:rPr>
          <w:rFonts w:cs="Arial"/>
          <w:szCs w:val="24"/>
        </w:rPr>
        <w:t>Genehmigungsb</w:t>
      </w:r>
      <w:r w:rsidRPr="00F95A10">
        <w:rPr>
          <w:rFonts w:cs="Arial"/>
          <w:szCs w:val="24"/>
        </w:rPr>
        <w:t>ehörde und das nötige Vertrauen de</w:t>
      </w:r>
      <w:r w:rsidR="001A3CD2">
        <w:rPr>
          <w:rFonts w:cs="Arial"/>
          <w:szCs w:val="24"/>
        </w:rPr>
        <w:t>s</w:t>
      </w:r>
      <w:r w:rsidRPr="00F95A10">
        <w:rPr>
          <w:rFonts w:cs="Arial"/>
          <w:szCs w:val="24"/>
        </w:rPr>
        <w:t xml:space="preserve"> </w:t>
      </w:r>
      <w:r w:rsidR="00D82C22">
        <w:rPr>
          <w:rFonts w:cs="Arial"/>
          <w:szCs w:val="24"/>
        </w:rPr>
        <w:t>Vorhabenträger</w:t>
      </w:r>
      <w:r w:rsidR="001A3CD2">
        <w:rPr>
          <w:rFonts w:cs="Arial"/>
          <w:szCs w:val="24"/>
        </w:rPr>
        <w:t>s</w:t>
      </w:r>
      <w:r w:rsidRPr="00F95A10">
        <w:rPr>
          <w:rFonts w:cs="Arial"/>
          <w:szCs w:val="24"/>
        </w:rPr>
        <w:t xml:space="preserve">, die </w:t>
      </w:r>
      <w:r w:rsidR="001A3CD2">
        <w:rPr>
          <w:rFonts w:cs="Arial"/>
          <w:szCs w:val="24"/>
        </w:rPr>
        <w:t>Genehmigungsb</w:t>
      </w:r>
      <w:r w:rsidRPr="00F95A10">
        <w:rPr>
          <w:rFonts w:cs="Arial"/>
          <w:szCs w:val="24"/>
        </w:rPr>
        <w:t xml:space="preserve">ehörde bereits zu einem so frühen Zeitpunkt </w:t>
      </w:r>
      <w:r w:rsidR="001A3CD2">
        <w:rPr>
          <w:rFonts w:cs="Arial"/>
          <w:szCs w:val="24"/>
        </w:rPr>
        <w:t>„</w:t>
      </w:r>
      <w:r w:rsidRPr="00F95A10">
        <w:rPr>
          <w:rFonts w:cs="Arial"/>
          <w:szCs w:val="24"/>
        </w:rPr>
        <w:t>als Partner</w:t>
      </w:r>
      <w:r w:rsidR="001A3CD2">
        <w:rPr>
          <w:rFonts w:cs="Arial"/>
          <w:szCs w:val="24"/>
        </w:rPr>
        <w:t>“</w:t>
      </w:r>
      <w:r w:rsidRPr="00F95A10">
        <w:rPr>
          <w:rFonts w:cs="Arial"/>
          <w:szCs w:val="24"/>
        </w:rPr>
        <w:t xml:space="preserve"> einzubinden. </w:t>
      </w:r>
    </w:p>
    <w:p w14:paraId="6AB3F55E" w14:textId="77777777" w:rsidR="00CC1C3B" w:rsidRDefault="00CC1C3B" w:rsidP="00E43B3C">
      <w:pPr>
        <w:spacing w:line="360" w:lineRule="atLeast"/>
        <w:jc w:val="both"/>
        <w:rPr>
          <w:rFonts w:cs="Arial"/>
          <w:szCs w:val="24"/>
        </w:rPr>
      </w:pPr>
    </w:p>
    <w:p w14:paraId="671553E5" w14:textId="77777777" w:rsidR="006B63D3" w:rsidRDefault="006B63D3" w:rsidP="00E43B3C">
      <w:pPr>
        <w:spacing w:line="360" w:lineRule="atLeast"/>
        <w:jc w:val="both"/>
        <w:rPr>
          <w:rFonts w:cs="Arial"/>
          <w:szCs w:val="24"/>
        </w:rPr>
      </w:pPr>
    </w:p>
    <w:p w14:paraId="1B85B5CE" w14:textId="77777777" w:rsidR="006B63D3" w:rsidRDefault="006B63D3" w:rsidP="00E43B3C">
      <w:pPr>
        <w:spacing w:line="360" w:lineRule="atLeast"/>
        <w:jc w:val="both"/>
        <w:rPr>
          <w:rFonts w:cs="Arial"/>
          <w:szCs w:val="24"/>
        </w:rPr>
      </w:pPr>
    </w:p>
    <w:p w14:paraId="53FA9EC5" w14:textId="77777777" w:rsidR="006B63D3" w:rsidRDefault="006B63D3" w:rsidP="00E43B3C">
      <w:pPr>
        <w:spacing w:line="360" w:lineRule="atLeast"/>
        <w:jc w:val="both"/>
        <w:rPr>
          <w:rFonts w:cs="Arial"/>
          <w:szCs w:val="24"/>
        </w:rPr>
      </w:pPr>
    </w:p>
    <w:p w14:paraId="14D8F988" w14:textId="77777777" w:rsidR="00B20689" w:rsidRDefault="00CC1C3B" w:rsidP="000C26BF">
      <w:pPr>
        <w:pStyle w:val="UMberschrift2num-Arial-12pt"/>
      </w:pPr>
      <w:r w:rsidRPr="00CC1C3B">
        <w:lastRenderedPageBreak/>
        <w:t>Umweltverträglichkeitsprüfung (UVP)</w:t>
      </w:r>
    </w:p>
    <w:p w14:paraId="58420470" w14:textId="77777777" w:rsidR="001A3CD2" w:rsidRDefault="001A3CD2" w:rsidP="00350326">
      <w:pPr>
        <w:spacing w:line="360" w:lineRule="atLeast"/>
        <w:jc w:val="both"/>
      </w:pPr>
    </w:p>
    <w:p w14:paraId="53D29EF3" w14:textId="1D7958B9" w:rsidR="00350326" w:rsidRDefault="00350326" w:rsidP="00350326">
      <w:pPr>
        <w:spacing w:line="360" w:lineRule="atLeast"/>
        <w:jc w:val="both"/>
      </w:pPr>
      <w:r>
        <w:t xml:space="preserve">Fallen die zur Genehmigung gestellten WEA in den Anwendungsbereich des § 6 </w:t>
      </w:r>
      <w:r w:rsidR="001A3CD2">
        <w:t xml:space="preserve">(oder § 6b) </w:t>
      </w:r>
      <w:r w:rsidR="001A3CD2" w:rsidRPr="001A3CD2">
        <w:t xml:space="preserve">Windenergieflächenbedarfsgesetz </w:t>
      </w:r>
      <w:r w:rsidR="001A3CD2">
        <w:t>(</w:t>
      </w:r>
      <w:proofErr w:type="spellStart"/>
      <w:r>
        <w:t>WindBG</w:t>
      </w:r>
      <w:proofErr w:type="spellEnd"/>
      <w:r w:rsidR="001A3CD2">
        <w:t>)</w:t>
      </w:r>
      <w:r>
        <w:t xml:space="preserve">, entfällt die Pflicht zur Durchführung einer Umweltverträglichkeitsprüfung oder einer Vorprüfung. </w:t>
      </w:r>
    </w:p>
    <w:p w14:paraId="385669AF" w14:textId="77777777" w:rsidR="00350326" w:rsidRDefault="00350326" w:rsidP="00B20689">
      <w:pPr>
        <w:spacing w:line="360" w:lineRule="atLeast"/>
        <w:jc w:val="both"/>
      </w:pPr>
    </w:p>
    <w:p w14:paraId="3732B40E" w14:textId="22637F01" w:rsidR="00B20689" w:rsidRDefault="00254F87" w:rsidP="00B20689">
      <w:pPr>
        <w:spacing w:line="360" w:lineRule="atLeast"/>
        <w:jc w:val="both"/>
        <w:rPr>
          <w:rFonts w:cs="Arial"/>
          <w:szCs w:val="24"/>
        </w:rPr>
      </w:pPr>
      <w:r>
        <w:t>F</w:t>
      </w:r>
      <w:r w:rsidR="00E73D25">
        <w:t xml:space="preserve">ür Errichtung und Betrieb einer </w:t>
      </w:r>
      <w:proofErr w:type="spellStart"/>
      <w:r w:rsidR="00E73D25">
        <w:t>Windfarm</w:t>
      </w:r>
      <w:proofErr w:type="spellEnd"/>
      <w:r>
        <w:t xml:space="preserve"> (ab drei WEA) ist</w:t>
      </w:r>
      <w:r w:rsidR="00E73D25">
        <w:t xml:space="preserve"> </w:t>
      </w:r>
      <w:r w:rsidR="00B20689">
        <w:t xml:space="preserve">eine standortbezogene Vorprüfung nach Nr. 1.6.3 der Anlage 1 zum Gesetz über die Umweltverträglichkeitsprüfung (UVPG) erforderlich. Befindet sich der Standort der </w:t>
      </w:r>
      <w:r w:rsidR="00401945">
        <w:t xml:space="preserve">WEA </w:t>
      </w:r>
      <w:r w:rsidR="00B20689">
        <w:t xml:space="preserve">im Wald, kann sich eine UVP- bzw. Vorprüfungspflicht </w:t>
      </w:r>
      <w:r w:rsidR="00350326">
        <w:t xml:space="preserve">zudem </w:t>
      </w:r>
      <w:r w:rsidR="00B20689">
        <w:t>aus</w:t>
      </w:r>
      <w:r w:rsidR="001A3CD2">
        <w:t xml:space="preserve"> </w:t>
      </w:r>
      <w:r w:rsidR="00E73D25">
        <w:t xml:space="preserve">Nr. </w:t>
      </w:r>
      <w:r w:rsidR="00B20689">
        <w:t>17.2</w:t>
      </w:r>
      <w:r w:rsidR="00350326">
        <w:t xml:space="preserve"> der Anlage 1 zum UVPG</w:t>
      </w:r>
      <w:r w:rsidR="00B20689">
        <w:t xml:space="preserve"> ergeben. Hier ist zu beachten, dass bereits </w:t>
      </w:r>
      <w:r w:rsidR="00B20689" w:rsidRPr="00B20689">
        <w:rPr>
          <w:rFonts w:cs="Arial"/>
          <w:szCs w:val="24"/>
        </w:rPr>
        <w:t>für eine Waldumwandung zwischen 1 und 5 ha eine standortbezogene Vorprüfung (vgl. Nr. 17.2</w:t>
      </w:r>
      <w:r w:rsidR="00E73D25">
        <w:rPr>
          <w:rFonts w:cs="Arial"/>
          <w:szCs w:val="24"/>
        </w:rPr>
        <w:t>.1</w:t>
      </w:r>
      <w:r w:rsidR="00B20689" w:rsidRPr="00B20689">
        <w:rPr>
          <w:rFonts w:cs="Arial"/>
          <w:szCs w:val="24"/>
        </w:rPr>
        <w:t xml:space="preserve"> Anlage 1 zum UVPG) erforderlich wird. </w:t>
      </w:r>
    </w:p>
    <w:p w14:paraId="0F2C66CF" w14:textId="77777777" w:rsidR="00347C2C" w:rsidRDefault="00347C2C" w:rsidP="00B20689">
      <w:pPr>
        <w:spacing w:line="360" w:lineRule="atLeast"/>
        <w:jc w:val="both"/>
        <w:rPr>
          <w:rFonts w:cs="Arial"/>
          <w:szCs w:val="24"/>
        </w:rPr>
      </w:pPr>
    </w:p>
    <w:p w14:paraId="6DF180CD" w14:textId="65AC24B8" w:rsidR="001F03D6" w:rsidRPr="001F03D6" w:rsidRDefault="008B61F6" w:rsidP="00B20689">
      <w:pPr>
        <w:spacing w:line="360" w:lineRule="atLeast"/>
        <w:jc w:val="both"/>
      </w:pPr>
      <w:r>
        <w:rPr>
          <w:rFonts w:cs="Arial"/>
          <w:szCs w:val="24"/>
        </w:rPr>
        <w:t>Innerhalb eines Genehmigungsverfahrens können also verschiedene Teilprojekte als Vorhaben nach verschiedenen Ziffern der</w:t>
      </w:r>
      <w:r w:rsidR="00535BA9">
        <w:rPr>
          <w:rFonts w:cs="Arial"/>
          <w:szCs w:val="24"/>
        </w:rPr>
        <w:t xml:space="preserve"> Anlage 1 zum UVPG</w:t>
      </w:r>
      <w:r>
        <w:rPr>
          <w:rFonts w:cs="Arial"/>
          <w:szCs w:val="24"/>
        </w:rPr>
        <w:t xml:space="preserve"> gelten und jeweils</w:t>
      </w:r>
      <w:r w:rsidR="00535BA9">
        <w:rPr>
          <w:rFonts w:cs="Arial"/>
          <w:szCs w:val="24"/>
        </w:rPr>
        <w:t xml:space="preserve"> eine UVP- bzw. Vorprüfungspflicht auslösen</w:t>
      </w:r>
      <w:r>
        <w:rPr>
          <w:rFonts w:cs="Arial"/>
          <w:szCs w:val="24"/>
        </w:rPr>
        <w:t>, für die unterschiedliche</w:t>
      </w:r>
      <w:r w:rsidR="00587B04">
        <w:rPr>
          <w:rFonts w:cs="Arial"/>
          <w:szCs w:val="24"/>
        </w:rPr>
        <w:t xml:space="preserve"> </w:t>
      </w:r>
      <w:r w:rsidR="00535BA9" w:rsidRPr="00B20689">
        <w:rPr>
          <w:rFonts w:cs="Arial"/>
          <w:szCs w:val="24"/>
        </w:rPr>
        <w:t>Prüfungsmaßst</w:t>
      </w:r>
      <w:r>
        <w:rPr>
          <w:rFonts w:cs="Arial"/>
          <w:szCs w:val="24"/>
        </w:rPr>
        <w:t>äbe</w:t>
      </w:r>
      <w:r w:rsidR="00587B04">
        <w:rPr>
          <w:rFonts w:cs="Arial"/>
          <w:szCs w:val="24"/>
        </w:rPr>
        <w:t xml:space="preserve"> </w:t>
      </w:r>
      <w:r>
        <w:rPr>
          <w:rFonts w:cs="Arial"/>
          <w:szCs w:val="24"/>
        </w:rPr>
        <w:t>gelten</w:t>
      </w:r>
      <w:r w:rsidRPr="00B20689">
        <w:rPr>
          <w:rFonts w:cs="Arial"/>
          <w:szCs w:val="24"/>
        </w:rPr>
        <w:t xml:space="preserve"> </w:t>
      </w:r>
      <w:r w:rsidR="00535BA9" w:rsidRPr="00B20689">
        <w:rPr>
          <w:rFonts w:cs="Arial"/>
          <w:szCs w:val="24"/>
        </w:rPr>
        <w:t>(</w:t>
      </w:r>
      <w:r w:rsidR="00535BA9">
        <w:rPr>
          <w:rFonts w:cs="Arial"/>
          <w:szCs w:val="24"/>
        </w:rPr>
        <w:t>bspw.</w:t>
      </w:r>
      <w:r w:rsidR="00535BA9" w:rsidRPr="00B20689">
        <w:rPr>
          <w:rFonts w:cs="Arial"/>
          <w:szCs w:val="24"/>
        </w:rPr>
        <w:t xml:space="preserve"> </w:t>
      </w:r>
      <w:r w:rsidR="00535BA9">
        <w:rPr>
          <w:rFonts w:cs="Arial"/>
          <w:szCs w:val="24"/>
        </w:rPr>
        <w:t>UVP</w:t>
      </w:r>
      <w:r w:rsidR="00535BA9" w:rsidRPr="00B20689">
        <w:rPr>
          <w:rFonts w:cs="Arial"/>
          <w:szCs w:val="24"/>
        </w:rPr>
        <w:t xml:space="preserve"> für die Rodung, lediglich eine allgemeine Vorprüfung</w:t>
      </w:r>
      <w:r w:rsidR="00E73D25">
        <w:rPr>
          <w:rFonts w:cs="Arial"/>
          <w:szCs w:val="24"/>
        </w:rPr>
        <w:t xml:space="preserve"> für die </w:t>
      </w:r>
      <w:proofErr w:type="spellStart"/>
      <w:r w:rsidR="00E73D25">
        <w:rPr>
          <w:rFonts w:cs="Arial"/>
          <w:szCs w:val="24"/>
        </w:rPr>
        <w:t>Windfarm</w:t>
      </w:r>
      <w:proofErr w:type="spellEnd"/>
      <w:r w:rsidR="00535BA9" w:rsidRPr="00B20689">
        <w:rPr>
          <w:rFonts w:cs="Arial"/>
          <w:szCs w:val="24"/>
        </w:rPr>
        <w:t>).</w:t>
      </w:r>
      <w:r w:rsidR="00535BA9">
        <w:rPr>
          <w:rFonts w:cs="Arial"/>
          <w:szCs w:val="24"/>
        </w:rPr>
        <w:t xml:space="preserve"> </w:t>
      </w:r>
      <w:r w:rsidR="001F03D6">
        <w:rPr>
          <w:rFonts w:cs="Arial"/>
          <w:szCs w:val="24"/>
        </w:rPr>
        <w:t xml:space="preserve">Der VGH hat mit Urteil vom 27. November 2023 (Az. 10 S 1584/22) seine frühere Rechtsprechung zum Thema UVP und Waldumwandlung im immissionsschutzrechtlichen Genehmigungsverfahren von WEA fortentwickelt (vgl. </w:t>
      </w:r>
      <w:hyperlink r:id="rId18" w:history="1">
        <w:r w:rsidR="001F03D6" w:rsidRPr="00116950">
          <w:rPr>
            <w:rStyle w:val="Hyperlink"/>
            <w:rFonts w:cs="Arial"/>
            <w:szCs w:val="24"/>
          </w:rPr>
          <w:t>Schreiben</w:t>
        </w:r>
        <w:r w:rsidR="001F03D6">
          <w:rPr>
            <w:rStyle w:val="Hyperlink"/>
            <w:rFonts w:cs="Arial"/>
            <w:szCs w:val="24"/>
          </w:rPr>
          <w:t xml:space="preserve"> des Ministeriums für Umwelt, Klima und Energiewirtschaft</w:t>
        </w:r>
        <w:r w:rsidR="001F03D6" w:rsidRPr="00116950">
          <w:rPr>
            <w:rStyle w:val="Hyperlink"/>
            <w:rFonts w:cs="Arial"/>
            <w:szCs w:val="24"/>
          </w:rPr>
          <w:t xml:space="preserve"> </w:t>
        </w:r>
        <w:r w:rsidR="001F03D6">
          <w:rPr>
            <w:rStyle w:val="Hyperlink"/>
            <w:rFonts w:cs="Arial"/>
            <w:szCs w:val="24"/>
          </w:rPr>
          <w:t>(</w:t>
        </w:r>
        <w:r w:rsidR="001F03D6" w:rsidRPr="00116950">
          <w:rPr>
            <w:rStyle w:val="Hyperlink"/>
            <w:rFonts w:cs="Arial"/>
            <w:szCs w:val="24"/>
          </w:rPr>
          <w:t>UM</w:t>
        </w:r>
        <w:r w:rsidR="001F03D6">
          <w:rPr>
            <w:rStyle w:val="Hyperlink"/>
            <w:rFonts w:cs="Arial"/>
            <w:szCs w:val="24"/>
          </w:rPr>
          <w:t>)</w:t>
        </w:r>
        <w:r w:rsidR="001F03D6" w:rsidRPr="00116950">
          <w:rPr>
            <w:rStyle w:val="Hyperlink"/>
            <w:rFonts w:cs="Arial"/>
            <w:szCs w:val="24"/>
          </w:rPr>
          <w:t xml:space="preserve"> vom 16.07.2025, Az. UM46-4583-37/1/15</w:t>
        </w:r>
      </w:hyperlink>
      <w:r w:rsidR="001F03D6">
        <w:rPr>
          <w:rFonts w:cs="Arial"/>
          <w:szCs w:val="24"/>
        </w:rPr>
        <w:t xml:space="preserve">). Demnach sind die Aspekte Rodung von Wald (Ziff. 17.2 der Anlage 1 zum UVPG) und Auswirkungen einer </w:t>
      </w:r>
      <w:proofErr w:type="spellStart"/>
      <w:r w:rsidR="001F03D6">
        <w:rPr>
          <w:rFonts w:cs="Arial"/>
          <w:szCs w:val="24"/>
        </w:rPr>
        <w:t>Windfarm</w:t>
      </w:r>
      <w:proofErr w:type="spellEnd"/>
      <w:r w:rsidR="001F03D6">
        <w:rPr>
          <w:rFonts w:cs="Arial"/>
          <w:szCs w:val="24"/>
        </w:rPr>
        <w:t xml:space="preserve"> (Ziff. 1.6 der Anlage 1 zum UVPG) streng an ihrem jeweiligen Prüfungsmaßstab gemessen zu bewerten.</w:t>
      </w:r>
    </w:p>
    <w:p w14:paraId="62C50D06" w14:textId="77777777" w:rsidR="001F03D6" w:rsidRPr="00B20689" w:rsidRDefault="001F03D6" w:rsidP="00B20689">
      <w:pPr>
        <w:spacing w:line="360" w:lineRule="atLeast"/>
        <w:jc w:val="both"/>
        <w:rPr>
          <w:rFonts w:cs="Arial"/>
          <w:szCs w:val="24"/>
        </w:rPr>
      </w:pPr>
    </w:p>
    <w:p w14:paraId="2F324FA9" w14:textId="31429D9B" w:rsidR="00B20689" w:rsidRPr="00B20689" w:rsidRDefault="00B20689" w:rsidP="00B20689">
      <w:pPr>
        <w:spacing w:line="360" w:lineRule="atLeast"/>
        <w:jc w:val="both"/>
        <w:rPr>
          <w:rFonts w:cs="Arial"/>
          <w:szCs w:val="24"/>
        </w:rPr>
      </w:pPr>
      <w:r w:rsidRPr="00B20689">
        <w:rPr>
          <w:rFonts w:cs="Arial"/>
          <w:szCs w:val="24"/>
        </w:rPr>
        <w:t xml:space="preserve">Laut Schreiben des Ministeriums für Ernährung, Ländlichen Raum und Verbraucherschutz (MLR) vom 21.05.2021 sind nicht nur die dauerhaften Waldumwandlungen (§ 9 </w:t>
      </w:r>
      <w:proofErr w:type="spellStart"/>
      <w:r w:rsidRPr="00B20689">
        <w:rPr>
          <w:rFonts w:cs="Arial"/>
          <w:szCs w:val="24"/>
        </w:rPr>
        <w:t>LWaldG</w:t>
      </w:r>
      <w:proofErr w:type="spellEnd"/>
      <w:r w:rsidRPr="00B20689">
        <w:rPr>
          <w:rFonts w:cs="Arial"/>
          <w:szCs w:val="24"/>
        </w:rPr>
        <w:t xml:space="preserve">), sondern auch befristete Waldumwandlungen (§ 11 </w:t>
      </w:r>
      <w:proofErr w:type="spellStart"/>
      <w:r w:rsidRPr="00B20689">
        <w:rPr>
          <w:rFonts w:cs="Arial"/>
          <w:szCs w:val="24"/>
        </w:rPr>
        <w:t>LWaldG</w:t>
      </w:r>
      <w:proofErr w:type="spellEnd"/>
      <w:r w:rsidRPr="00B20689">
        <w:rPr>
          <w:rFonts w:cs="Arial"/>
          <w:szCs w:val="24"/>
        </w:rPr>
        <w:t xml:space="preserve">) sowie Leitungsschneisen und damit verbundene Rodungen (§ 9 Abs. 7 </w:t>
      </w:r>
      <w:proofErr w:type="spellStart"/>
      <w:r w:rsidRPr="00B20689">
        <w:rPr>
          <w:rFonts w:cs="Arial"/>
          <w:szCs w:val="24"/>
        </w:rPr>
        <w:t>LWaldG</w:t>
      </w:r>
      <w:proofErr w:type="spellEnd"/>
      <w:r w:rsidRPr="00B20689">
        <w:rPr>
          <w:rFonts w:cs="Arial"/>
          <w:szCs w:val="24"/>
        </w:rPr>
        <w:t xml:space="preserve">) bei der Herleitung der Gesamteingriffsfläche im Sinne des UVPG zu berücksichtigen. Letzteres gilt auch hinsichtlich kumulierender Vorhaben </w:t>
      </w:r>
      <w:r w:rsidR="008F467E">
        <w:rPr>
          <w:rFonts w:cs="Arial"/>
          <w:szCs w:val="24"/>
        </w:rPr>
        <w:t>nach</w:t>
      </w:r>
      <w:r w:rsidRPr="00B20689">
        <w:rPr>
          <w:rFonts w:cs="Arial"/>
          <w:szCs w:val="24"/>
        </w:rPr>
        <w:t xml:space="preserve"> § 10 Abs. 4 i. V. m. § 11 Abs. 1 UVPG. Hierzu gehören neben schon bestehenden oder geplanten benachbarten Anlagen unter anderem auch Waldinanspruchnahmen für die Zuwegung. </w:t>
      </w:r>
    </w:p>
    <w:p w14:paraId="3826C051" w14:textId="77777777" w:rsidR="00B20689" w:rsidRPr="00B20689" w:rsidRDefault="00B20689" w:rsidP="00B20689">
      <w:pPr>
        <w:pStyle w:val="Listenabsatz"/>
        <w:spacing w:line="360" w:lineRule="atLeast"/>
        <w:ind w:left="850"/>
        <w:jc w:val="both"/>
        <w:rPr>
          <w:rFonts w:cs="Arial"/>
          <w:szCs w:val="24"/>
        </w:rPr>
      </w:pPr>
    </w:p>
    <w:p w14:paraId="36961921" w14:textId="1C511F41" w:rsidR="00350326" w:rsidRDefault="008B61F6" w:rsidP="00B20689">
      <w:pPr>
        <w:spacing w:line="360" w:lineRule="atLeast"/>
        <w:jc w:val="both"/>
        <w:rPr>
          <w:rFonts w:cs="Arial"/>
          <w:szCs w:val="24"/>
        </w:rPr>
      </w:pPr>
      <w:r>
        <w:rPr>
          <w:rFonts w:cs="Arial"/>
          <w:szCs w:val="24"/>
        </w:rPr>
        <w:lastRenderedPageBreak/>
        <w:t>Die</w:t>
      </w:r>
      <w:r w:rsidR="00B20689" w:rsidRPr="00B20689">
        <w:rPr>
          <w:rFonts w:cs="Arial"/>
          <w:szCs w:val="24"/>
        </w:rPr>
        <w:t xml:space="preserve"> Rodungen auf den Flächen der von </w:t>
      </w:r>
      <w:r w:rsidR="008322EE">
        <w:rPr>
          <w:rFonts w:cs="Arial"/>
          <w:szCs w:val="24"/>
        </w:rPr>
        <w:t xml:space="preserve">der </w:t>
      </w:r>
      <w:r w:rsidR="00B20689" w:rsidRPr="00B20689">
        <w:rPr>
          <w:rFonts w:cs="Arial"/>
          <w:szCs w:val="24"/>
        </w:rPr>
        <w:t xml:space="preserve">Konzentrationswirkung der immissionsschutzrechtlichen Genehmigung umfassten Waldumwandlungsgenehmigung auf dem Anlagenstandort („intern“) </w:t>
      </w:r>
      <w:r>
        <w:rPr>
          <w:rFonts w:cs="Arial"/>
          <w:szCs w:val="24"/>
        </w:rPr>
        <w:t>sind</w:t>
      </w:r>
      <w:r w:rsidRPr="00B20689">
        <w:rPr>
          <w:rFonts w:cs="Arial"/>
          <w:szCs w:val="24"/>
        </w:rPr>
        <w:t xml:space="preserve"> </w:t>
      </w:r>
      <w:r w:rsidR="00B20689" w:rsidRPr="00B20689">
        <w:rPr>
          <w:rFonts w:cs="Arial"/>
          <w:szCs w:val="24"/>
        </w:rPr>
        <w:t>mit den Rodungen auf den Flächen der nicht konzentrierten Waldumwandlungsgenehmigung („extern“) einheitlich zu betrachten (ein Vorhaben i. S. d. Nr. 17.2 der Anlage 1</w:t>
      </w:r>
      <w:r w:rsidR="00350326">
        <w:rPr>
          <w:rFonts w:cs="Arial"/>
          <w:szCs w:val="24"/>
        </w:rPr>
        <w:t xml:space="preserve"> zum UVPG</w:t>
      </w:r>
      <w:r w:rsidR="00B20689" w:rsidRPr="00B20689">
        <w:rPr>
          <w:rFonts w:cs="Arial"/>
          <w:szCs w:val="24"/>
        </w:rPr>
        <w:t>).</w:t>
      </w:r>
      <w:r w:rsidR="001F03D6">
        <w:rPr>
          <w:rFonts w:cs="Arial"/>
          <w:szCs w:val="24"/>
        </w:rPr>
        <w:t xml:space="preserve"> </w:t>
      </w:r>
      <w:r w:rsidR="00B20689" w:rsidRPr="00B20689">
        <w:rPr>
          <w:rFonts w:cs="Arial"/>
          <w:szCs w:val="24"/>
        </w:rPr>
        <w:t>Das bedeutet, dass im Rahmen der im immissionsschutzrechtlichen Verfahren durchzuführenden UVP (-Vorprüfung)</w:t>
      </w:r>
      <w:r w:rsidR="00535BA9">
        <w:rPr>
          <w:rFonts w:cs="Arial"/>
          <w:szCs w:val="24"/>
        </w:rPr>
        <w:t xml:space="preserve"> – sofern Schwellenwerte nach Nr. 17.2 der Anlage 1 zum UVPG überschritten werden –</w:t>
      </w:r>
      <w:r w:rsidR="00B20689" w:rsidRPr="00B20689">
        <w:rPr>
          <w:rFonts w:cs="Arial"/>
          <w:szCs w:val="24"/>
        </w:rPr>
        <w:t xml:space="preserve"> </w:t>
      </w:r>
      <w:r w:rsidR="001F03D6">
        <w:rPr>
          <w:rFonts w:cs="Arial"/>
          <w:szCs w:val="24"/>
        </w:rPr>
        <w:t xml:space="preserve">weiterhin </w:t>
      </w:r>
      <w:r w:rsidR="00B20689" w:rsidRPr="00B20689">
        <w:rPr>
          <w:rFonts w:cs="Arial"/>
          <w:szCs w:val="24"/>
        </w:rPr>
        <w:t xml:space="preserve">auch die Zuwegung </w:t>
      </w:r>
      <w:r w:rsidR="00535BA9">
        <w:rPr>
          <w:rFonts w:cs="Arial"/>
          <w:szCs w:val="24"/>
        </w:rPr>
        <w:t>mit</w:t>
      </w:r>
      <w:r w:rsidR="00EC1B86">
        <w:rPr>
          <w:rFonts w:cs="Arial"/>
          <w:szCs w:val="24"/>
        </w:rPr>
        <w:t xml:space="preserve"> </w:t>
      </w:r>
      <w:r w:rsidR="00535BA9">
        <w:rPr>
          <w:rFonts w:cs="Arial"/>
          <w:szCs w:val="24"/>
        </w:rPr>
        <w:t>zu</w:t>
      </w:r>
      <w:r w:rsidR="00EC1B86">
        <w:rPr>
          <w:rFonts w:cs="Arial"/>
          <w:szCs w:val="24"/>
        </w:rPr>
        <w:t xml:space="preserve"> </w:t>
      </w:r>
      <w:r w:rsidR="00535BA9">
        <w:rPr>
          <w:rFonts w:cs="Arial"/>
          <w:szCs w:val="24"/>
        </w:rPr>
        <w:t>betrachten ist</w:t>
      </w:r>
      <w:r w:rsidR="00B20689" w:rsidRPr="00B20689">
        <w:rPr>
          <w:rFonts w:cs="Arial"/>
          <w:szCs w:val="24"/>
        </w:rPr>
        <w:t xml:space="preserve">, obwohl die diesbezügliche Waldumwandlungsgenehmigung in einem eigenen Verfahren von der höheren Forstbehörde erteilt wird. </w:t>
      </w:r>
    </w:p>
    <w:p w14:paraId="5207A08A" w14:textId="77777777" w:rsidR="00350326" w:rsidRDefault="00350326" w:rsidP="00B20689">
      <w:pPr>
        <w:spacing w:line="360" w:lineRule="atLeast"/>
        <w:jc w:val="both"/>
        <w:rPr>
          <w:rFonts w:cs="Arial"/>
          <w:szCs w:val="24"/>
        </w:rPr>
      </w:pPr>
    </w:p>
    <w:p w14:paraId="41ACA690" w14:textId="1583C71C" w:rsidR="00B20689" w:rsidRDefault="00B20689" w:rsidP="00B20689">
      <w:pPr>
        <w:spacing w:line="360" w:lineRule="atLeast"/>
        <w:jc w:val="both"/>
        <w:rPr>
          <w:rFonts w:cs="Arial"/>
          <w:szCs w:val="24"/>
        </w:rPr>
      </w:pPr>
      <w:r w:rsidRPr="00B20689">
        <w:rPr>
          <w:rFonts w:cs="Arial"/>
          <w:szCs w:val="24"/>
        </w:rPr>
        <w:t>Grundsätzlich sollte</w:t>
      </w:r>
      <w:r w:rsidR="008B61F6">
        <w:rPr>
          <w:rFonts w:cs="Arial"/>
          <w:szCs w:val="24"/>
        </w:rPr>
        <w:t xml:space="preserve"> der Vorhabenträger</w:t>
      </w:r>
      <w:r w:rsidRPr="00B20689">
        <w:rPr>
          <w:rFonts w:cs="Arial"/>
          <w:szCs w:val="24"/>
        </w:rPr>
        <w:t xml:space="preserve"> die Unterlagen</w:t>
      </w:r>
      <w:r w:rsidR="004C7B03">
        <w:rPr>
          <w:rFonts w:cs="Arial"/>
          <w:szCs w:val="24"/>
        </w:rPr>
        <w:t xml:space="preserve"> auch</w:t>
      </w:r>
      <w:r w:rsidRPr="00B20689">
        <w:rPr>
          <w:rFonts w:cs="Arial"/>
          <w:szCs w:val="24"/>
        </w:rPr>
        <w:t xml:space="preserve"> für die Flächen jenseits des Anlagenstandorts möglichst abschließend im immissionsschutzrechtlichen Genehmigungsverfahren </w:t>
      </w:r>
      <w:r w:rsidR="004C7B03">
        <w:rPr>
          <w:rFonts w:cs="Arial"/>
          <w:szCs w:val="24"/>
        </w:rPr>
        <w:t>vorlegen, damit sie in die Prüfungen nach UVPG einbezogen werden können</w:t>
      </w:r>
      <w:r w:rsidRPr="00B20689">
        <w:rPr>
          <w:rFonts w:cs="Arial"/>
          <w:szCs w:val="24"/>
        </w:rPr>
        <w:t xml:space="preserve">. Im Sinne der Verfahrensbeschleunigung </w:t>
      </w:r>
      <w:r w:rsidR="005A767E">
        <w:rPr>
          <w:rFonts w:cs="Arial"/>
          <w:szCs w:val="24"/>
        </w:rPr>
        <w:t xml:space="preserve">akzeptiert die höhere Forstbehörde </w:t>
      </w:r>
      <w:r w:rsidR="009F4117">
        <w:rPr>
          <w:rFonts w:cs="Arial"/>
          <w:szCs w:val="24"/>
        </w:rPr>
        <w:t>auch</w:t>
      </w:r>
      <w:r w:rsidR="00A6779D">
        <w:rPr>
          <w:rFonts w:cs="Arial"/>
          <w:szCs w:val="24"/>
        </w:rPr>
        <w:t xml:space="preserve"> </w:t>
      </w:r>
      <w:r w:rsidRPr="00B20689">
        <w:rPr>
          <w:rFonts w:cs="Arial"/>
          <w:szCs w:val="24"/>
        </w:rPr>
        <w:t>alternative Darstellungsformen oder noch nicht abschließend feststehende Zuwegungskonzeptionen, sofern sie die Mindestanforderungen des UVPG erfüllen und auch forstliche Belange beinhalten. Ebenso wird ein Vorgehen mittels „</w:t>
      </w:r>
      <w:proofErr w:type="spellStart"/>
      <w:r w:rsidRPr="00B20689">
        <w:rPr>
          <w:rFonts w:cs="Arial"/>
          <w:szCs w:val="24"/>
        </w:rPr>
        <w:t>worst</w:t>
      </w:r>
      <w:proofErr w:type="spellEnd"/>
      <w:r w:rsidRPr="00B20689">
        <w:rPr>
          <w:rFonts w:cs="Arial"/>
          <w:szCs w:val="24"/>
        </w:rPr>
        <w:t>-</w:t>
      </w:r>
      <w:proofErr w:type="spellStart"/>
      <w:r w:rsidRPr="00B20689">
        <w:rPr>
          <w:rFonts w:cs="Arial"/>
          <w:szCs w:val="24"/>
        </w:rPr>
        <w:t>case</w:t>
      </w:r>
      <w:proofErr w:type="spellEnd"/>
      <w:r w:rsidRPr="00B20689">
        <w:rPr>
          <w:rFonts w:cs="Arial"/>
          <w:szCs w:val="24"/>
        </w:rPr>
        <w:t>“-Betrachtung akzeptiert, solange auch hierzu geeignete Unterlagen vorgelegt werden.</w:t>
      </w:r>
      <w:r w:rsidR="009F4117">
        <w:rPr>
          <w:rFonts w:cs="Arial"/>
          <w:szCs w:val="24"/>
        </w:rPr>
        <w:t xml:space="preserve"> </w:t>
      </w:r>
      <w:r w:rsidR="00056CD4" w:rsidRPr="00056CD4">
        <w:rPr>
          <w:rFonts w:cs="Arial"/>
          <w:szCs w:val="24"/>
        </w:rPr>
        <w:t>Auf</w:t>
      </w:r>
      <w:r w:rsidR="009F4117">
        <w:rPr>
          <w:rFonts w:cs="Arial"/>
          <w:szCs w:val="24"/>
        </w:rPr>
        <w:t xml:space="preserve"> die </w:t>
      </w:r>
      <w:hyperlink r:id="rId19" w:history="1">
        <w:r w:rsidR="009F4117" w:rsidRPr="009F4117">
          <w:rPr>
            <w:rStyle w:val="Hyperlink"/>
            <w:rFonts w:cs="Arial"/>
            <w:szCs w:val="24"/>
          </w:rPr>
          <w:t>Hinweise der Abteilung For</w:t>
        </w:r>
        <w:r w:rsidR="00A91E51">
          <w:rPr>
            <w:rStyle w:val="Hyperlink"/>
            <w:rFonts w:cs="Arial"/>
            <w:szCs w:val="24"/>
          </w:rPr>
          <w:t>s</w:t>
        </w:r>
        <w:r w:rsidR="009F4117" w:rsidRPr="009F4117">
          <w:rPr>
            <w:rStyle w:val="Hyperlink"/>
            <w:rFonts w:cs="Arial"/>
            <w:szCs w:val="24"/>
          </w:rPr>
          <w:t xml:space="preserve">tdirektion des </w:t>
        </w:r>
        <w:r w:rsidR="003D4715" w:rsidRPr="009F4117">
          <w:rPr>
            <w:rStyle w:val="Hyperlink"/>
            <w:rFonts w:cs="Arial"/>
            <w:szCs w:val="24"/>
          </w:rPr>
          <w:t>Regierungspräsidiums</w:t>
        </w:r>
        <w:r w:rsidR="009F4117" w:rsidRPr="009F4117">
          <w:rPr>
            <w:rStyle w:val="Hyperlink"/>
            <w:rFonts w:cs="Arial"/>
            <w:szCs w:val="24"/>
          </w:rPr>
          <w:t xml:space="preserve"> Freiburg zur Genehmigung von WEA im Wald</w:t>
        </w:r>
      </w:hyperlink>
      <w:r w:rsidR="009F4117">
        <w:rPr>
          <w:rFonts w:cs="Arial"/>
          <w:szCs w:val="24"/>
        </w:rPr>
        <w:t xml:space="preserve"> (Seite 25) wird verwiesen.</w:t>
      </w:r>
    </w:p>
    <w:p w14:paraId="5CB89464" w14:textId="304E7917" w:rsidR="00AE2A84" w:rsidRPr="00B20689" w:rsidRDefault="00FE7703" w:rsidP="00B20689">
      <w:pPr>
        <w:spacing w:line="360" w:lineRule="atLeast"/>
        <w:jc w:val="both"/>
        <w:rPr>
          <w:rFonts w:cs="Arial"/>
          <w:szCs w:val="24"/>
        </w:rPr>
      </w:pPr>
      <w:r>
        <w:rPr>
          <w:rFonts w:cs="Arial"/>
          <w:szCs w:val="24"/>
        </w:rPr>
        <w:t>Im Sinne eines effizienten Genehmigungsverfahrens</w:t>
      </w:r>
      <w:r w:rsidR="00AE2A84" w:rsidRPr="00B20689">
        <w:rPr>
          <w:rFonts w:cs="Arial"/>
          <w:szCs w:val="24"/>
        </w:rPr>
        <w:t xml:space="preserve"> sollte</w:t>
      </w:r>
      <w:r w:rsidR="00AE2A84">
        <w:rPr>
          <w:rFonts w:cs="Arial"/>
          <w:szCs w:val="24"/>
        </w:rPr>
        <w:t xml:space="preserve"> im Falle einer UVP- bzw. Vorprüfungspflicht nach Nr. 17.2 der Anlage 1 zum UVPG</w:t>
      </w:r>
      <w:r w:rsidR="00AE2A84" w:rsidRPr="00B20689">
        <w:rPr>
          <w:rFonts w:cs="Arial"/>
          <w:szCs w:val="24"/>
        </w:rPr>
        <w:t xml:space="preserve"> der </w:t>
      </w:r>
      <w:r>
        <w:rPr>
          <w:rFonts w:cs="Arial"/>
          <w:szCs w:val="24"/>
        </w:rPr>
        <w:t xml:space="preserve">Antrag </w:t>
      </w:r>
      <w:r w:rsidRPr="00B20689">
        <w:rPr>
          <w:rFonts w:cs="Arial"/>
          <w:szCs w:val="24"/>
        </w:rPr>
        <w:t>auf Waldumwandlungsgenehmigung für die Zuwegung</w:t>
      </w:r>
      <w:r>
        <w:rPr>
          <w:rFonts w:cs="Arial"/>
          <w:szCs w:val="24"/>
        </w:rPr>
        <w:t xml:space="preserve"> möglichst zeitnah mit dem </w:t>
      </w:r>
      <w:r w:rsidR="00AE2A84" w:rsidRPr="00B20689">
        <w:rPr>
          <w:rFonts w:cs="Arial"/>
          <w:szCs w:val="24"/>
        </w:rPr>
        <w:t>immissionsschutzrechtliche</w:t>
      </w:r>
      <w:r>
        <w:rPr>
          <w:rFonts w:cs="Arial"/>
          <w:szCs w:val="24"/>
        </w:rPr>
        <w:t>n Genehmigungsantrag für die Errichtung und den Betrieb der Anlage gestellt werden.</w:t>
      </w:r>
      <w:r w:rsidR="00AE2A84" w:rsidRPr="00B20689">
        <w:rPr>
          <w:rFonts w:cs="Arial"/>
          <w:szCs w:val="24"/>
        </w:rPr>
        <w:t xml:space="preserve"> In jedem Fall ist eine sehr frühe und enge Abstimmung mit der höheren Forstbehörde notwendig, um spätere Verzögerungen zu vermeiden. </w:t>
      </w:r>
    </w:p>
    <w:p w14:paraId="177EB290" w14:textId="77777777" w:rsidR="00B20689" w:rsidRPr="00B20689" w:rsidRDefault="00B20689" w:rsidP="00B20689">
      <w:pPr>
        <w:pStyle w:val="Listenabsatz"/>
        <w:spacing w:line="360" w:lineRule="atLeast"/>
        <w:ind w:left="850"/>
        <w:jc w:val="both"/>
        <w:rPr>
          <w:rFonts w:cs="Arial"/>
          <w:szCs w:val="24"/>
        </w:rPr>
      </w:pPr>
    </w:p>
    <w:p w14:paraId="72950664" w14:textId="046BA0CF" w:rsidR="00B20689" w:rsidRPr="00B20689" w:rsidRDefault="00B20689" w:rsidP="00B20689">
      <w:pPr>
        <w:spacing w:line="360" w:lineRule="atLeast"/>
        <w:jc w:val="both"/>
        <w:rPr>
          <w:rFonts w:cs="Arial"/>
          <w:szCs w:val="24"/>
        </w:rPr>
      </w:pPr>
      <w:r w:rsidRPr="00B20689">
        <w:rPr>
          <w:rFonts w:cs="Arial"/>
          <w:szCs w:val="24"/>
        </w:rPr>
        <w:t xml:space="preserve">Nach § 31 Abs. 1 UVPG ist in Fällen, in denen ein Vorhaben der Zulassung durch mehrere Landesbehörden bedarf, eine federführende Behörde zu bestimmen. </w:t>
      </w:r>
      <w:r w:rsidR="00BC14DF">
        <w:rPr>
          <w:rFonts w:cs="Arial"/>
          <w:szCs w:val="24"/>
        </w:rPr>
        <w:t xml:space="preserve">Da es sich sowohl bei </w:t>
      </w:r>
      <w:r w:rsidR="00FA0856">
        <w:rPr>
          <w:rFonts w:cs="Arial"/>
          <w:szCs w:val="24"/>
        </w:rPr>
        <w:t>den</w:t>
      </w:r>
      <w:r w:rsidR="00FA0856" w:rsidRPr="00BC14DF">
        <w:rPr>
          <w:rFonts w:cs="Arial"/>
          <w:szCs w:val="24"/>
        </w:rPr>
        <w:t xml:space="preserve"> unteren</w:t>
      </w:r>
      <w:r w:rsidR="00BC14DF" w:rsidRPr="00BC14DF">
        <w:rPr>
          <w:rFonts w:cs="Arial"/>
          <w:szCs w:val="24"/>
        </w:rPr>
        <w:t xml:space="preserve"> Immissionsschutzbehörde</w:t>
      </w:r>
      <w:r w:rsidR="00D52C02">
        <w:rPr>
          <w:rFonts w:cs="Arial"/>
          <w:szCs w:val="24"/>
        </w:rPr>
        <w:t>n</w:t>
      </w:r>
      <w:r w:rsidR="00BC14DF" w:rsidRPr="00BC14DF">
        <w:rPr>
          <w:rFonts w:cs="Arial"/>
          <w:szCs w:val="24"/>
        </w:rPr>
        <w:t xml:space="preserve"> </w:t>
      </w:r>
      <w:r w:rsidR="00D52C02">
        <w:rPr>
          <w:rFonts w:cs="Arial"/>
          <w:szCs w:val="24"/>
        </w:rPr>
        <w:t>als auch beim</w:t>
      </w:r>
      <w:r w:rsidR="00BC14DF" w:rsidRPr="00BC14DF">
        <w:rPr>
          <w:rFonts w:cs="Arial"/>
          <w:szCs w:val="24"/>
        </w:rPr>
        <w:t xml:space="preserve"> Regierungspräsidium Freiburg als höhere</w:t>
      </w:r>
      <w:r w:rsidR="00D52C02">
        <w:rPr>
          <w:rFonts w:cs="Arial"/>
          <w:szCs w:val="24"/>
        </w:rPr>
        <w:t>r</w:t>
      </w:r>
      <w:r w:rsidR="00BC14DF" w:rsidRPr="00BC14DF">
        <w:rPr>
          <w:rFonts w:cs="Arial"/>
          <w:szCs w:val="24"/>
        </w:rPr>
        <w:t xml:space="preserve"> Forstbehörde</w:t>
      </w:r>
      <w:r w:rsidR="00BC14DF">
        <w:rPr>
          <w:rFonts w:cs="Arial"/>
          <w:szCs w:val="24"/>
        </w:rPr>
        <w:t xml:space="preserve"> um allgemeine Verwaltungsbehörden im Sinne des Landesverwaltungsgesetzes (LVG) handelt, </w:t>
      </w:r>
      <w:r w:rsidRPr="00B20689">
        <w:rPr>
          <w:rFonts w:cs="Arial"/>
          <w:szCs w:val="24"/>
        </w:rPr>
        <w:t>ist nach § 20 Abs. 1 und 2</w:t>
      </w:r>
      <w:r w:rsidR="00E73D25">
        <w:rPr>
          <w:rFonts w:cs="Arial"/>
          <w:szCs w:val="24"/>
        </w:rPr>
        <w:t xml:space="preserve"> des Umweltverwaltungsgesetzes (</w:t>
      </w:r>
      <w:proofErr w:type="spellStart"/>
      <w:r w:rsidRPr="00B20689">
        <w:rPr>
          <w:rFonts w:cs="Arial"/>
          <w:szCs w:val="24"/>
        </w:rPr>
        <w:t>UVwG</w:t>
      </w:r>
      <w:proofErr w:type="spellEnd"/>
      <w:r w:rsidR="00E73D25">
        <w:rPr>
          <w:rFonts w:cs="Arial"/>
          <w:szCs w:val="24"/>
        </w:rPr>
        <w:t>)</w:t>
      </w:r>
      <w:r w:rsidRPr="00B20689">
        <w:rPr>
          <w:rFonts w:cs="Arial"/>
          <w:szCs w:val="24"/>
        </w:rPr>
        <w:t xml:space="preserve"> federführende Behörde das Regierungspräsidium</w:t>
      </w:r>
      <w:r w:rsidR="00BC14DF">
        <w:rPr>
          <w:rFonts w:cs="Arial"/>
          <w:szCs w:val="24"/>
        </w:rPr>
        <w:t>. Die örtliche Zuständigkeit ergibt sich aus §§ 11 und 12 LVG.</w:t>
      </w:r>
    </w:p>
    <w:p w14:paraId="5A23207D" w14:textId="77777777" w:rsidR="00B20689" w:rsidRPr="00B20689" w:rsidRDefault="00B20689" w:rsidP="00B20689">
      <w:pPr>
        <w:pStyle w:val="Listenabsatz"/>
        <w:spacing w:line="360" w:lineRule="atLeast"/>
        <w:ind w:left="850"/>
        <w:jc w:val="both"/>
        <w:rPr>
          <w:rFonts w:cs="Arial"/>
          <w:szCs w:val="24"/>
        </w:rPr>
      </w:pPr>
    </w:p>
    <w:p w14:paraId="10A2467C" w14:textId="307A7CE1" w:rsidR="00B20689" w:rsidRPr="00B20689" w:rsidRDefault="00B20689" w:rsidP="00B20689">
      <w:pPr>
        <w:spacing w:line="360" w:lineRule="atLeast"/>
        <w:jc w:val="both"/>
        <w:rPr>
          <w:rFonts w:cs="Arial"/>
          <w:szCs w:val="24"/>
        </w:rPr>
      </w:pPr>
      <w:r w:rsidRPr="00B20689">
        <w:rPr>
          <w:rFonts w:cs="Arial"/>
          <w:szCs w:val="24"/>
        </w:rPr>
        <w:lastRenderedPageBreak/>
        <w:t xml:space="preserve">Demnach werden die notwendigen Prüfungen grundsätzlich vom örtlich zuständigen Regierungspräsidium als federführender Behörde durchgeführt. Hierzu informieren die Zulassungsbehörden das zuständige Regierungspräsidium möglichst frühzeitig über das Vorhaben. Nach § 20 Abs. 1 Satz 2 </w:t>
      </w:r>
      <w:proofErr w:type="spellStart"/>
      <w:r w:rsidRPr="00B20689">
        <w:rPr>
          <w:rFonts w:cs="Arial"/>
          <w:szCs w:val="24"/>
        </w:rPr>
        <w:t>UVwG</w:t>
      </w:r>
      <w:proofErr w:type="spellEnd"/>
      <w:r w:rsidRPr="00B20689">
        <w:rPr>
          <w:rFonts w:cs="Arial"/>
          <w:szCs w:val="24"/>
        </w:rPr>
        <w:t xml:space="preserve"> kann das Regierungspräsidium die Wahrnehmung der Aufgaben im Einzelfall auf eine der Zulassungsbehörden übertragen. Es wird empfohlen, hiervon Gebrauch zu machen und die Wahrnehmung der Aufgaben auf die für die immissionsschutzrechtliche Genehmigung zuständige Behörde (untere Verwaltungsbehörde) zu übertragen. </w:t>
      </w:r>
    </w:p>
    <w:p w14:paraId="3C76CC2D" w14:textId="77777777" w:rsidR="00B20689" w:rsidRPr="00B20689" w:rsidRDefault="00B20689" w:rsidP="00B20689">
      <w:pPr>
        <w:pStyle w:val="Listenabsatz"/>
        <w:spacing w:line="360" w:lineRule="atLeast"/>
        <w:ind w:left="850"/>
        <w:jc w:val="both"/>
        <w:rPr>
          <w:rFonts w:cs="Arial"/>
          <w:szCs w:val="24"/>
        </w:rPr>
      </w:pPr>
    </w:p>
    <w:p w14:paraId="7A1848A1" w14:textId="78F84E01" w:rsidR="009548EC" w:rsidRDefault="00B20689" w:rsidP="00FE7703">
      <w:pPr>
        <w:spacing w:line="360" w:lineRule="atLeast"/>
        <w:rPr>
          <w:rFonts w:cs="Arial"/>
          <w:szCs w:val="24"/>
        </w:rPr>
      </w:pPr>
      <w:r w:rsidRPr="00B20689">
        <w:rPr>
          <w:rFonts w:cs="Arial"/>
          <w:szCs w:val="24"/>
        </w:rPr>
        <w:t xml:space="preserve">Sobald </w:t>
      </w:r>
      <w:r w:rsidR="00566560">
        <w:rPr>
          <w:rFonts w:cs="Arial"/>
          <w:szCs w:val="24"/>
        </w:rPr>
        <w:t>im Rahmen eines immissionsschutzrechtlichen Genehmigungsverfahrens eine UVP durchzuführen ist</w:t>
      </w:r>
      <w:r w:rsidRPr="00B20689">
        <w:rPr>
          <w:rFonts w:cs="Arial"/>
          <w:szCs w:val="24"/>
        </w:rPr>
        <w:t>, ist das immissionsschutzrechtliche Genehmigungsverfahren im förmlichen Verfahren durchzuführen (vgl. § 2 Abs. 1 Nr. 1 c) der 4. BImSchV).</w:t>
      </w:r>
    </w:p>
    <w:p w14:paraId="5AC7FF4D" w14:textId="77777777" w:rsidR="00EA1D51" w:rsidRDefault="00EA1D51" w:rsidP="00FE7703">
      <w:pPr>
        <w:spacing w:line="360" w:lineRule="atLeast"/>
        <w:rPr>
          <w:rFonts w:cs="Arial"/>
          <w:szCs w:val="24"/>
        </w:rPr>
      </w:pPr>
    </w:p>
    <w:p w14:paraId="222F1AC6" w14:textId="010C551D" w:rsidR="00EA1D51" w:rsidRPr="00EA1D51" w:rsidRDefault="00EA1D51" w:rsidP="000C26BF">
      <w:pPr>
        <w:pStyle w:val="UMberschrift2num-Arial-12pt"/>
      </w:pPr>
      <w:r w:rsidRPr="00EA1D51">
        <w:t xml:space="preserve">Verfahrenserleichterungen nach § 6 und § 6b </w:t>
      </w:r>
      <w:proofErr w:type="spellStart"/>
      <w:r w:rsidRPr="00EA1D51">
        <w:t>WindBG</w:t>
      </w:r>
      <w:proofErr w:type="spellEnd"/>
    </w:p>
    <w:p w14:paraId="5192E96E" w14:textId="626A882B" w:rsidR="00B21857" w:rsidRPr="00B17094" w:rsidRDefault="00B21857" w:rsidP="000C26BF">
      <w:pPr>
        <w:pStyle w:val="UMberschrift3num-Arial-12pt"/>
        <w:rPr>
          <w:b w:val="0"/>
        </w:rPr>
      </w:pPr>
      <w:r w:rsidRPr="00B17094">
        <w:t xml:space="preserve">Verfahrenserleichterungen nach § 6 </w:t>
      </w:r>
      <w:proofErr w:type="spellStart"/>
      <w:r>
        <w:t>WindBG</w:t>
      </w:r>
      <w:proofErr w:type="spellEnd"/>
    </w:p>
    <w:p w14:paraId="50EABC49" w14:textId="77777777" w:rsidR="00401945" w:rsidRDefault="00401945" w:rsidP="00ED06EC">
      <w:pPr>
        <w:spacing w:line="360" w:lineRule="atLeast"/>
        <w:jc w:val="both"/>
      </w:pPr>
    </w:p>
    <w:p w14:paraId="4E2A0A45" w14:textId="4CC2FF52" w:rsidR="00050D3B" w:rsidRDefault="00050D3B" w:rsidP="00ED06EC">
      <w:pPr>
        <w:spacing w:line="360" w:lineRule="atLeast"/>
        <w:jc w:val="both"/>
      </w:pPr>
      <w:r>
        <w:t xml:space="preserve">Mit dem Ziel, den Ausbau der regenerativen Energien zu beschleunigen, wurden im </w:t>
      </w:r>
      <w:proofErr w:type="spellStart"/>
      <w:r w:rsidR="00800A9F" w:rsidRPr="00EE2C14">
        <w:t>WindBG</w:t>
      </w:r>
      <w:proofErr w:type="spellEnd"/>
      <w:r w:rsidR="00800A9F" w:rsidRPr="00EE2C14">
        <w:t xml:space="preserve"> landesspezifische Flächenziele, sogenannte Flächenbeitragswerte, </w:t>
      </w:r>
      <w:r>
        <w:t>festgeschrieben</w:t>
      </w:r>
      <w:r w:rsidR="00800A9F" w:rsidRPr="00EE2C14">
        <w:t xml:space="preserve">, </w:t>
      </w:r>
      <w:r w:rsidR="00566560">
        <w:t xml:space="preserve">d.h. Mindestanteile der Landesfläche, </w:t>
      </w:r>
      <w:r w:rsidR="00800A9F" w:rsidRPr="00EE2C14">
        <w:t xml:space="preserve">die </w:t>
      </w:r>
      <w:r>
        <w:t xml:space="preserve">im Rahmen von Raumordnungs- oder Bauleitplänen bis </w:t>
      </w:r>
      <w:r w:rsidR="00800A9F" w:rsidRPr="00EE2C14">
        <w:t xml:space="preserve">zu bestimmten Stichtagen </w:t>
      </w:r>
      <w:r w:rsidR="006D0F74">
        <w:rPr>
          <w:rFonts w:cs="Arial"/>
          <w:szCs w:val="24"/>
        </w:rPr>
        <w:t>–</w:t>
      </w:r>
      <w:r w:rsidR="00800A9F" w:rsidRPr="00EE2C14">
        <w:t xml:space="preserve"> Ende 2027 und Ende 2032 </w:t>
      </w:r>
      <w:r w:rsidR="006D0F74">
        <w:rPr>
          <w:rFonts w:cs="Arial"/>
          <w:szCs w:val="24"/>
        </w:rPr>
        <w:t xml:space="preserve">– </w:t>
      </w:r>
      <w:r w:rsidR="00566560">
        <w:rPr>
          <w:rFonts w:cs="Arial"/>
          <w:szCs w:val="24"/>
        </w:rPr>
        <w:t xml:space="preserve">als Windenergiegebiete </w:t>
      </w:r>
      <w:r>
        <w:t>ausgewiesen sein müssen.</w:t>
      </w:r>
      <w:r w:rsidR="00800A9F" w:rsidRPr="00EE2C14">
        <w:t xml:space="preserve"> </w:t>
      </w:r>
      <w:r w:rsidR="00566560">
        <w:t xml:space="preserve">Dadurch </w:t>
      </w:r>
      <w:r w:rsidR="00800A9F" w:rsidRPr="00EE2C14">
        <w:t>soll der energiewirtschaftliche Flächenbedarf mittel- und langfristig gedeckt werden.</w:t>
      </w:r>
    </w:p>
    <w:p w14:paraId="4413D369" w14:textId="3004C665" w:rsidR="005A64BB" w:rsidRDefault="00800A9F" w:rsidP="00ED06EC">
      <w:pPr>
        <w:spacing w:line="360" w:lineRule="atLeast"/>
        <w:jc w:val="both"/>
      </w:pPr>
      <w:r>
        <w:t xml:space="preserve">Im § 6 </w:t>
      </w:r>
      <w:proofErr w:type="spellStart"/>
      <w:r>
        <w:t>WindBG</w:t>
      </w:r>
      <w:proofErr w:type="spellEnd"/>
      <w:r>
        <w:t xml:space="preserve"> wurden </w:t>
      </w:r>
      <w:r w:rsidR="00050D3B">
        <w:t xml:space="preserve">sodann </w:t>
      </w:r>
      <w:r>
        <w:t>wesentliche Erleichterungen für</w:t>
      </w:r>
      <w:r w:rsidR="006C5C41">
        <w:t xml:space="preserve"> </w:t>
      </w:r>
      <w:r>
        <w:t>Genehmigungsverfahren</w:t>
      </w:r>
      <w:r w:rsidR="006C5C41">
        <w:t xml:space="preserve"> für WEA</w:t>
      </w:r>
      <w:r>
        <w:t xml:space="preserve"> geschaffen</w:t>
      </w:r>
      <w:r w:rsidR="00C14B13">
        <w:rPr>
          <w:rStyle w:val="Funotenzeichen"/>
        </w:rPr>
        <w:footnoteReference w:id="3"/>
      </w:r>
      <w:r>
        <w:t>.</w:t>
      </w:r>
      <w:r w:rsidR="00A6539C">
        <w:t xml:space="preserve"> </w:t>
      </w:r>
      <w:r w:rsidR="00A6539C" w:rsidRPr="00ED06EC">
        <w:t xml:space="preserve">Voraussetzung für die Anwendung des § 6 </w:t>
      </w:r>
      <w:proofErr w:type="spellStart"/>
      <w:r w:rsidR="00A6539C" w:rsidRPr="00ED06EC">
        <w:t>WindBG</w:t>
      </w:r>
      <w:proofErr w:type="spellEnd"/>
      <w:r w:rsidR="00A6539C" w:rsidRPr="00ED06EC">
        <w:t xml:space="preserve"> </w:t>
      </w:r>
      <w:r w:rsidR="00A6539C">
        <w:t>ist</w:t>
      </w:r>
      <w:r w:rsidR="00A6539C" w:rsidRPr="00ED06EC">
        <w:t>, dass die beantragte</w:t>
      </w:r>
      <w:r w:rsidR="00A6539C">
        <w:t>n</w:t>
      </w:r>
      <w:r w:rsidR="00A6539C" w:rsidRPr="00ED06EC">
        <w:t xml:space="preserve"> </w:t>
      </w:r>
      <w:r w:rsidR="00A6539C">
        <w:t>WEA</w:t>
      </w:r>
      <w:r w:rsidR="00A6539C" w:rsidRPr="00ED06EC">
        <w:t xml:space="preserve"> in einem </w:t>
      </w:r>
      <w:r w:rsidR="00A6539C">
        <w:t xml:space="preserve">zum Zeitpunkt der Genehmigungserteilung </w:t>
      </w:r>
      <w:r w:rsidR="00A6539C" w:rsidRPr="00ED06EC">
        <w:t xml:space="preserve">ausgewiesenen Windenergiegebiet </w:t>
      </w:r>
      <w:r w:rsidR="00A6539C">
        <w:t xml:space="preserve">i. S. v. </w:t>
      </w:r>
      <w:r w:rsidR="00A6539C" w:rsidRPr="00ED06EC">
        <w:t xml:space="preserve">§ 2 Nr. 1 </w:t>
      </w:r>
      <w:proofErr w:type="spellStart"/>
      <w:r w:rsidR="00A6539C" w:rsidRPr="00ED06EC">
        <w:t>WindBG</w:t>
      </w:r>
      <w:proofErr w:type="spellEnd"/>
      <w:r w:rsidR="00A6539C" w:rsidRPr="00ED06EC">
        <w:t xml:space="preserve"> lieg</w:t>
      </w:r>
      <w:r w:rsidR="00A6539C">
        <w:t>en.</w:t>
      </w:r>
      <w:r w:rsidR="005A64BB">
        <w:t xml:space="preserve"> </w:t>
      </w:r>
      <w:r w:rsidR="00AE2A84">
        <w:t>Bei entsprechender</w:t>
      </w:r>
      <w:r w:rsidR="005A64BB">
        <w:t xml:space="preserve"> Antragstellung </w:t>
      </w:r>
      <w:r w:rsidR="00ED06EC" w:rsidRPr="00ED06EC">
        <w:t>bis zum</w:t>
      </w:r>
      <w:r w:rsidR="005A64BB">
        <w:t xml:space="preserve"> Ablauf des</w:t>
      </w:r>
      <w:r w:rsidR="00ED06EC" w:rsidRPr="00ED06EC">
        <w:t xml:space="preserve"> 30</w:t>
      </w:r>
      <w:r w:rsidR="00ED06EC">
        <w:t xml:space="preserve">. Juni </w:t>
      </w:r>
      <w:r w:rsidR="00761B42" w:rsidRPr="00ED06EC">
        <w:t>202</w:t>
      </w:r>
      <w:r w:rsidR="00761B42">
        <w:t>5</w:t>
      </w:r>
      <w:r w:rsidR="00AE2A84">
        <w:t xml:space="preserve"> ist</w:t>
      </w:r>
      <w:r w:rsidR="00761B42">
        <w:t xml:space="preserve"> </w:t>
      </w:r>
      <w:r w:rsidR="005A64BB">
        <w:t xml:space="preserve">im Genehmigungsverfahren für </w:t>
      </w:r>
      <w:r w:rsidR="00761B42">
        <w:t>WEA</w:t>
      </w:r>
      <w:r w:rsidR="00ED06EC" w:rsidRPr="00ED06EC">
        <w:t xml:space="preserve"> </w:t>
      </w:r>
      <w:r w:rsidR="005A64BB">
        <w:t xml:space="preserve">eine </w:t>
      </w:r>
      <w:r w:rsidR="00ED06EC" w:rsidRPr="00ED06EC">
        <w:t xml:space="preserve">Umweltverträglichkeitsprüfung (UVP) und </w:t>
      </w:r>
      <w:r w:rsidR="005A64BB">
        <w:t>eine</w:t>
      </w:r>
      <w:r w:rsidR="00ED06EC" w:rsidRPr="00ED06EC">
        <w:t xml:space="preserve"> </w:t>
      </w:r>
      <w:r w:rsidR="00AE2A84">
        <w:t>a</w:t>
      </w:r>
      <w:r w:rsidR="00ED06EC" w:rsidRPr="00ED06EC">
        <w:t>rtenschutz</w:t>
      </w:r>
      <w:r w:rsidR="00AE2A84">
        <w:t>rechtliche P</w:t>
      </w:r>
      <w:r w:rsidR="00ED06EC" w:rsidRPr="00ED06EC">
        <w:t>rüfung</w:t>
      </w:r>
      <w:r w:rsidR="00AE2A84">
        <w:t xml:space="preserve"> nicht</w:t>
      </w:r>
      <w:r w:rsidR="00ED06EC" w:rsidRPr="00ED06EC">
        <w:t xml:space="preserve"> </w:t>
      </w:r>
      <w:r w:rsidR="005A64BB">
        <w:t>durchzuführen</w:t>
      </w:r>
      <w:r w:rsidR="003105B2">
        <w:t>.</w:t>
      </w:r>
      <w:r w:rsidR="00AE2A84">
        <w:t xml:space="preserve"> </w:t>
      </w:r>
    </w:p>
    <w:p w14:paraId="47A22BFA" w14:textId="5A25308E" w:rsidR="00DD7376" w:rsidRDefault="00346764" w:rsidP="00DD7376">
      <w:pPr>
        <w:spacing w:line="360" w:lineRule="atLeast"/>
        <w:jc w:val="both"/>
        <w:rPr>
          <w:rFonts w:cs="Arial"/>
          <w:szCs w:val="24"/>
        </w:rPr>
      </w:pPr>
      <w:r>
        <w:rPr>
          <w:rFonts w:cs="Arial"/>
          <w:szCs w:val="24"/>
        </w:rPr>
        <w:lastRenderedPageBreak/>
        <w:t>Das Bundesministeri</w:t>
      </w:r>
      <w:r w:rsidR="00CB2A14">
        <w:rPr>
          <w:rFonts w:cs="Arial"/>
          <w:szCs w:val="24"/>
        </w:rPr>
        <w:t>um</w:t>
      </w:r>
      <w:r>
        <w:rPr>
          <w:rFonts w:cs="Arial"/>
          <w:szCs w:val="24"/>
        </w:rPr>
        <w:t xml:space="preserve"> für Wirtschaft und Klimaschutz und das Bundesministerium für Umwelt, Naturschutz, nukleare Sicherheit und Verbraucherschutz haben eine</w:t>
      </w:r>
      <w:r w:rsidR="00087A36">
        <w:rPr>
          <w:rFonts w:cs="Arial"/>
          <w:szCs w:val="24"/>
        </w:rPr>
        <w:t xml:space="preserve"> </w:t>
      </w:r>
      <w:hyperlink r:id="rId20" w:history="1">
        <w:r w:rsidR="00800A9F" w:rsidRPr="00586212">
          <w:rPr>
            <w:rStyle w:val="Hyperlink"/>
            <w:rFonts w:cs="Arial"/>
            <w:szCs w:val="24"/>
          </w:rPr>
          <w:t xml:space="preserve">Vollzugsempfehlung zu § 6 </w:t>
        </w:r>
        <w:proofErr w:type="spellStart"/>
        <w:r w:rsidR="00800A9F" w:rsidRPr="00586212">
          <w:rPr>
            <w:rStyle w:val="Hyperlink"/>
            <w:rFonts w:cs="Arial"/>
            <w:szCs w:val="24"/>
          </w:rPr>
          <w:t>WindBG</w:t>
        </w:r>
        <w:proofErr w:type="spellEnd"/>
      </w:hyperlink>
      <w:r w:rsidR="00800A9F">
        <w:rPr>
          <w:rFonts w:cs="Arial"/>
          <w:szCs w:val="24"/>
        </w:rPr>
        <w:t xml:space="preserve"> veröffentlicht</w:t>
      </w:r>
      <w:r>
        <w:rPr>
          <w:rFonts w:cs="Arial"/>
          <w:szCs w:val="24"/>
        </w:rPr>
        <w:t>.</w:t>
      </w:r>
    </w:p>
    <w:p w14:paraId="45315C3D" w14:textId="77777777" w:rsidR="00D06489" w:rsidRDefault="00D06489" w:rsidP="00DD7376">
      <w:pPr>
        <w:spacing w:line="360" w:lineRule="atLeast"/>
        <w:jc w:val="both"/>
        <w:rPr>
          <w:rFonts w:cs="Arial"/>
          <w:szCs w:val="24"/>
        </w:rPr>
      </w:pPr>
    </w:p>
    <w:p w14:paraId="6D54F952" w14:textId="2DB5F8F6" w:rsidR="00D06489" w:rsidRDefault="00D06489" w:rsidP="00DD7376">
      <w:pPr>
        <w:spacing w:line="360" w:lineRule="atLeast"/>
        <w:jc w:val="both"/>
        <w:rPr>
          <w:rFonts w:cs="Arial"/>
          <w:szCs w:val="24"/>
        </w:rPr>
      </w:pPr>
      <w:r>
        <w:rPr>
          <w:rFonts w:cs="Arial"/>
          <w:szCs w:val="24"/>
        </w:rPr>
        <w:t xml:space="preserve">Eine Vielzahl von Genehmigungsanträgen wurden bis zum 30. Juni 2025 als sogenannte „Rumpfanträge“ gestellt, um von den Verfahrenserleichterungen des § 6 </w:t>
      </w:r>
      <w:proofErr w:type="spellStart"/>
      <w:r>
        <w:rPr>
          <w:rFonts w:cs="Arial"/>
          <w:szCs w:val="24"/>
        </w:rPr>
        <w:t>WindBG</w:t>
      </w:r>
      <w:proofErr w:type="spellEnd"/>
      <w:r>
        <w:rPr>
          <w:rFonts w:cs="Arial"/>
          <w:szCs w:val="24"/>
        </w:rPr>
        <w:t xml:space="preserve"> zu profitieren. </w:t>
      </w:r>
      <w:r w:rsidR="00D10580">
        <w:rPr>
          <w:rFonts w:cs="Arial"/>
          <w:szCs w:val="24"/>
        </w:rPr>
        <w:t xml:space="preserve">Die Durchführung von Vorantragskonferenzen war in vielen Fällen nicht möglich. </w:t>
      </w:r>
      <w:r>
        <w:rPr>
          <w:rFonts w:cs="Arial"/>
          <w:szCs w:val="24"/>
        </w:rPr>
        <w:t xml:space="preserve">In Absprache mit dem Antragsteller sollte geprüft werden, ob </w:t>
      </w:r>
      <w:r w:rsidR="006C5C41">
        <w:rPr>
          <w:rFonts w:cs="Arial"/>
          <w:szCs w:val="24"/>
        </w:rPr>
        <w:t>in diesen Fällen nach Antragsstellung</w:t>
      </w:r>
      <w:r w:rsidR="00CE355A">
        <w:rPr>
          <w:rFonts w:cs="Arial"/>
          <w:szCs w:val="24"/>
        </w:rPr>
        <w:t>, jedoch vor Vervollständigung der Antragsunterlagen</w:t>
      </w:r>
      <w:r w:rsidR="006C5C41">
        <w:rPr>
          <w:rFonts w:cs="Arial"/>
          <w:szCs w:val="24"/>
        </w:rPr>
        <w:t xml:space="preserve"> die Durchführung </w:t>
      </w:r>
      <w:r>
        <w:rPr>
          <w:rFonts w:cs="Arial"/>
          <w:szCs w:val="24"/>
        </w:rPr>
        <w:t>ein</w:t>
      </w:r>
      <w:r w:rsidR="006C5C41">
        <w:rPr>
          <w:rFonts w:cs="Arial"/>
          <w:szCs w:val="24"/>
        </w:rPr>
        <w:t>es</w:t>
      </w:r>
      <w:r>
        <w:rPr>
          <w:rFonts w:cs="Arial"/>
          <w:szCs w:val="24"/>
        </w:rPr>
        <w:t xml:space="preserve"> Besprechungstermin</w:t>
      </w:r>
      <w:r w:rsidR="006C5C41">
        <w:rPr>
          <w:rFonts w:cs="Arial"/>
          <w:szCs w:val="24"/>
        </w:rPr>
        <w:t>s</w:t>
      </w:r>
      <w:r>
        <w:rPr>
          <w:rFonts w:cs="Arial"/>
          <w:szCs w:val="24"/>
        </w:rPr>
        <w:t xml:space="preserve"> analog zu den förmlichen Vorantragskonferenzen sinnvoll ist, um eine stringente und zügige Verfahrensdurchführung zu gewährleisten. </w:t>
      </w:r>
    </w:p>
    <w:p w14:paraId="5FC4AC3F" w14:textId="1710E5F9" w:rsidR="00E90FE7" w:rsidRDefault="00E90FE7" w:rsidP="00DD7376">
      <w:pPr>
        <w:spacing w:line="360" w:lineRule="atLeast"/>
        <w:jc w:val="both"/>
        <w:rPr>
          <w:rFonts w:cs="Arial"/>
          <w:szCs w:val="24"/>
        </w:rPr>
      </w:pPr>
    </w:p>
    <w:p w14:paraId="5A724DA7" w14:textId="4D2574B5" w:rsidR="008D1B00" w:rsidRPr="00602DFD" w:rsidRDefault="008D1B00" w:rsidP="000C26BF">
      <w:pPr>
        <w:pStyle w:val="UMberschrift3num-Arial-12pt"/>
        <w:rPr>
          <w:b w:val="0"/>
        </w:rPr>
      </w:pPr>
      <w:r w:rsidRPr="00602DFD">
        <w:t>Verfahrenserleichterungen nach § 6</w:t>
      </w:r>
      <w:r>
        <w:t>b</w:t>
      </w:r>
      <w:r w:rsidRPr="00602DFD">
        <w:t xml:space="preserve"> </w:t>
      </w:r>
      <w:proofErr w:type="spellStart"/>
      <w:r>
        <w:t>WindBG</w:t>
      </w:r>
      <w:proofErr w:type="spellEnd"/>
    </w:p>
    <w:p w14:paraId="659BD580" w14:textId="77777777" w:rsidR="00EA1D51" w:rsidRDefault="00EA1D51" w:rsidP="008D1B00">
      <w:pPr>
        <w:pStyle w:val="BW1Standard"/>
      </w:pPr>
    </w:p>
    <w:p w14:paraId="6A7CC97A" w14:textId="02F32155" w:rsidR="008D1B00" w:rsidRDefault="008D1B00" w:rsidP="008D1B00">
      <w:pPr>
        <w:pStyle w:val="BW1Standard"/>
      </w:pPr>
      <w:r w:rsidRPr="0085216A">
        <w:t>Die Richtlinie (EU) 2023/2413, sog. RED III-Richtlinie, sieht als wesentliche Maßnahme vor, dass in den Mitgliedstaaten Beschleunigungsgebiete für erneuerbare Energie ausgewiesen werden, in denen Vorhaben dann in einem vereinfachten und beschleunigten Genehmigungsverfahren zugelassen werden können. In Umsetzung dieser Richtlinie hat der Bundesgesetzgeber mit Gesetz vom 12. August 2025 u.a. bestimmt, dass alle Vorranggebiete für Windenergie</w:t>
      </w:r>
      <w:r w:rsidR="00644006">
        <w:t>, die nach Ablauf des 19. Mai 2024 festgelegt wurden</w:t>
      </w:r>
      <w:r w:rsidR="006C14FE">
        <w:t xml:space="preserve"> oder noch festgelegt werden sollen</w:t>
      </w:r>
      <w:r w:rsidR="00644006">
        <w:t>,</w:t>
      </w:r>
      <w:r w:rsidRPr="0085216A">
        <w:t xml:space="preserve"> zusätzlich auch als Beschleunigungsgebiete für die Windenergie auszuweisen sind, sofern sie nicht in den gesetzlich genannten Ausschlussgebieten liegen (§ 28 Abs. 2 ROG).</w:t>
      </w:r>
      <w:r w:rsidR="00D60D05">
        <w:t xml:space="preserve"> Für </w:t>
      </w:r>
      <w:r w:rsidR="008F239C">
        <w:t>in Flächennutzungsplänen dargestellte</w:t>
      </w:r>
      <w:r w:rsidR="006C14FE">
        <w:t xml:space="preserve"> oder noch darzustellende</w:t>
      </w:r>
      <w:r w:rsidR="008F239C">
        <w:t xml:space="preserve"> </w:t>
      </w:r>
      <w:r w:rsidR="00D60D05">
        <w:t>Windenergiegebiete gelten vergleichbare Regelungen (§ 249 c BauGB</w:t>
      </w:r>
      <w:r w:rsidRPr="0085216A">
        <w:t>).</w:t>
      </w:r>
    </w:p>
    <w:p w14:paraId="504A37F1" w14:textId="77777777" w:rsidR="008D1B00" w:rsidRPr="0085216A" w:rsidRDefault="008D1B00" w:rsidP="008D1B00">
      <w:pPr>
        <w:pStyle w:val="BW1Standard"/>
      </w:pPr>
    </w:p>
    <w:p w14:paraId="4A510499" w14:textId="7C8E1E1C" w:rsidR="008D1B00" w:rsidRDefault="008D1B00" w:rsidP="008D1B00">
      <w:pPr>
        <w:pStyle w:val="BW1Standard"/>
      </w:pPr>
      <w:r w:rsidRPr="0085216A">
        <w:t xml:space="preserve">In Baden-Württemberg besteht die Sondersituation, dass die Planungsverfahren für die Ausweisung der Windvorranggebiete im Rahmen der Regionalen Planungsoffensive schon sehr weit fortgeschritten sind. Um diese Planungsprozesse nicht einzubremsen, sondern so rasch als möglich zum Ziel zu führen, sollen die Beschleunigungsgebiete </w:t>
      </w:r>
      <w:r w:rsidR="00590B2F">
        <w:t xml:space="preserve">bzgl. Windvorranggebieten der Regionalen Planungsoffensive </w:t>
      </w:r>
      <w:r w:rsidRPr="0085216A">
        <w:t>in Baden-Württemberg</w:t>
      </w:r>
      <w:r w:rsidR="00C17255">
        <w:t xml:space="preserve"> unter Nutzung der entsprechenden </w:t>
      </w:r>
      <w:r w:rsidR="00201E31">
        <w:t>Sonder</w:t>
      </w:r>
      <w:r w:rsidR="00C17255">
        <w:t>regelung im ROG</w:t>
      </w:r>
      <w:r w:rsidRPr="0085216A">
        <w:t xml:space="preserve"> in einem zeitlich nachgelagerten separaten Planungsverfahren ausgewiesen werden.</w:t>
      </w:r>
    </w:p>
    <w:p w14:paraId="212A3893" w14:textId="02A33F89" w:rsidR="008D1B00" w:rsidRDefault="00C17255" w:rsidP="008D1B00">
      <w:pPr>
        <w:pStyle w:val="BW1Standard"/>
      </w:pPr>
      <w:r>
        <w:lastRenderedPageBreak/>
        <w:t>B</w:t>
      </w:r>
      <w:r w:rsidR="008D1B00" w:rsidRPr="0022397D">
        <w:t xml:space="preserve">ereits heute </w:t>
      </w:r>
      <w:r>
        <w:t xml:space="preserve">können </w:t>
      </w:r>
      <w:r w:rsidR="008D1B00" w:rsidRPr="0022397D">
        <w:t xml:space="preserve">die durch den Bundesgesetzgeber (ohne planerische Ausweisung) gesetzlich deklarierten Beschleunigungsgebiete nach § 6a </w:t>
      </w:r>
      <w:proofErr w:type="spellStart"/>
      <w:r w:rsidR="008D1B00" w:rsidRPr="0022397D">
        <w:t>WindBG</w:t>
      </w:r>
      <w:proofErr w:type="spellEnd"/>
      <w:r w:rsidR="008D1B00" w:rsidRPr="0022397D">
        <w:t xml:space="preserve"> genutzt werden. Diese Regelung erfasst alle bis zum 19. Mai 2024 ausgewiesenen kommunalen und regionalen Windenergiegebiete, sofern bei der Windplanung eine Umweltprüfung durchgeführt wurde und sie außerhalb bestimmter Schutzgebietstypen liegen.</w:t>
      </w:r>
    </w:p>
    <w:p w14:paraId="6BC934D1" w14:textId="77777777" w:rsidR="008D1B00" w:rsidRDefault="008D1B00" w:rsidP="008D1B00">
      <w:pPr>
        <w:pStyle w:val="BW1Standard"/>
      </w:pPr>
    </w:p>
    <w:p w14:paraId="20FC38D4" w14:textId="71C48332" w:rsidR="008D1B00" w:rsidRDefault="008D1B00" w:rsidP="008D1B00">
      <w:pPr>
        <w:pStyle w:val="BW1Standard"/>
      </w:pPr>
      <w:r>
        <w:t xml:space="preserve">Innerhalb von Beschleunigungsgebieten gelten die Verfahrenserleichterungen des § 6b </w:t>
      </w:r>
      <w:proofErr w:type="spellStart"/>
      <w:r>
        <w:t>WindBG</w:t>
      </w:r>
      <w:proofErr w:type="spellEnd"/>
      <w:r>
        <w:t>. Im jeweiligen Genehmigungsverfahren entfallen die artenschutzrechtliche und Natura</w:t>
      </w:r>
      <w:r w:rsidR="00E168B6">
        <w:t xml:space="preserve"> </w:t>
      </w:r>
      <w:r>
        <w:t xml:space="preserve">2000-Prüfung sowie eine etwaige Umweltverträglichkeitsprüfung. Abweichend von § 27 Wasserhaushaltsgesetz ist keine Prüfung der dort genannten Bewirtschaftungsziele durchzuführen. Stattdessen führt die Genehmigungsbehörde ein sog. Überprüfungsverfahren durch (§ 6b Abs. 3 bis 7 </w:t>
      </w:r>
      <w:proofErr w:type="spellStart"/>
      <w:r>
        <w:t>WindBG</w:t>
      </w:r>
      <w:proofErr w:type="spellEnd"/>
      <w:r>
        <w:t xml:space="preserve">). </w:t>
      </w:r>
    </w:p>
    <w:p w14:paraId="071CDD15" w14:textId="77777777" w:rsidR="008D1B00" w:rsidRDefault="008D1B00" w:rsidP="008D1B00">
      <w:pPr>
        <w:pStyle w:val="BW1Standard"/>
      </w:pPr>
    </w:p>
    <w:p w14:paraId="795A2DB7" w14:textId="77777777" w:rsidR="008D1B00" w:rsidRPr="0085216A" w:rsidRDefault="008D1B00" w:rsidP="008D1B00">
      <w:pPr>
        <w:pStyle w:val="BW1Standard"/>
      </w:pPr>
      <w:r>
        <w:t xml:space="preserve">Das Bundesministerium für Wirtschaft und Energie (BMWE) hat angekündigt, eine Vollzugsempfehlung zur Anwendung des § 6b </w:t>
      </w:r>
      <w:proofErr w:type="spellStart"/>
      <w:r>
        <w:t>WindBG</w:t>
      </w:r>
      <w:proofErr w:type="spellEnd"/>
      <w:r>
        <w:t xml:space="preserve"> zu veröffentlichen. </w:t>
      </w:r>
    </w:p>
    <w:p w14:paraId="7ED0958D" w14:textId="77777777" w:rsidR="00CC1C3B" w:rsidRPr="00F95A10" w:rsidRDefault="00CC1C3B" w:rsidP="00CC1C3B">
      <w:pPr>
        <w:spacing w:line="360" w:lineRule="atLeast"/>
        <w:jc w:val="both"/>
        <w:rPr>
          <w:rFonts w:cs="Arial"/>
          <w:szCs w:val="24"/>
        </w:rPr>
      </w:pPr>
    </w:p>
    <w:p w14:paraId="23062E7F" w14:textId="77777777" w:rsidR="00CC1C3B" w:rsidRPr="0016672A" w:rsidRDefault="00CC1C3B" w:rsidP="000C26BF">
      <w:pPr>
        <w:pStyle w:val="UMberschrift2num-Arial-12pt"/>
      </w:pPr>
      <w:bookmarkStart w:id="2" w:name="Zeitmanagement"/>
      <w:r w:rsidRPr="0016672A">
        <w:t>Zeitmanagement</w:t>
      </w:r>
      <w:bookmarkEnd w:id="2"/>
    </w:p>
    <w:p w14:paraId="14DD0D33" w14:textId="77777777" w:rsidR="00401945" w:rsidRDefault="00401945" w:rsidP="00CC4475">
      <w:pPr>
        <w:spacing w:line="360" w:lineRule="atLeast"/>
        <w:jc w:val="both"/>
        <w:rPr>
          <w:rFonts w:cs="Arial"/>
          <w:szCs w:val="24"/>
        </w:rPr>
      </w:pPr>
    </w:p>
    <w:p w14:paraId="3F3283BF" w14:textId="58461D40" w:rsidR="00CC4475" w:rsidRDefault="00CC1C3B" w:rsidP="00CC4475">
      <w:pPr>
        <w:spacing w:line="360" w:lineRule="atLeast"/>
        <w:jc w:val="both"/>
        <w:rPr>
          <w:rFonts w:cs="Arial"/>
          <w:szCs w:val="24"/>
        </w:rPr>
      </w:pPr>
      <w:r w:rsidRPr="00CC4475">
        <w:rPr>
          <w:rFonts w:cs="Arial"/>
          <w:szCs w:val="24"/>
        </w:rPr>
        <w:t xml:space="preserve">Projektierer und Vorhabenträger sollten sich des intern angedachten Zeitplans klarwerden und bereits im Blick behalten, welche </w:t>
      </w:r>
      <w:r w:rsidR="002C7D44">
        <w:rPr>
          <w:rFonts w:cs="Arial"/>
          <w:szCs w:val="24"/>
        </w:rPr>
        <w:t xml:space="preserve">der </w:t>
      </w:r>
      <w:r w:rsidRPr="00CC4475">
        <w:rPr>
          <w:rFonts w:cs="Arial"/>
          <w:szCs w:val="24"/>
        </w:rPr>
        <w:t xml:space="preserve">erforderlichen Nachweise </w:t>
      </w:r>
      <w:r w:rsidR="002C7D44" w:rsidRPr="00CC4475">
        <w:rPr>
          <w:rFonts w:cs="Arial"/>
          <w:szCs w:val="24"/>
        </w:rPr>
        <w:t xml:space="preserve">möglicherweise </w:t>
      </w:r>
      <w:r w:rsidR="00FA66FC">
        <w:rPr>
          <w:rFonts w:cs="Arial"/>
          <w:szCs w:val="24"/>
        </w:rPr>
        <w:t xml:space="preserve">nur </w:t>
      </w:r>
      <w:r w:rsidRPr="00CC4475">
        <w:rPr>
          <w:rFonts w:cs="Arial"/>
          <w:szCs w:val="24"/>
        </w:rPr>
        <w:t xml:space="preserve">zeitlich kritisch </w:t>
      </w:r>
      <w:r w:rsidR="00FA66FC">
        <w:rPr>
          <w:rFonts w:cs="Arial"/>
          <w:szCs w:val="24"/>
        </w:rPr>
        <w:t xml:space="preserve">erbracht werden </w:t>
      </w:r>
      <w:r w:rsidRPr="00CC4475">
        <w:rPr>
          <w:rFonts w:cs="Arial"/>
          <w:szCs w:val="24"/>
        </w:rPr>
        <w:t>können (z.</w:t>
      </w:r>
      <w:r w:rsidR="002C7D44">
        <w:rPr>
          <w:rFonts w:cs="Arial"/>
          <w:szCs w:val="24"/>
        </w:rPr>
        <w:t> </w:t>
      </w:r>
      <w:r w:rsidRPr="00CC4475">
        <w:rPr>
          <w:rFonts w:cs="Arial"/>
          <w:szCs w:val="24"/>
        </w:rPr>
        <w:t>B. wegen zeitintensiver Prüfaufwände oder auch fixer Zeitpunkte, zu denen Untersuchungen stattfinden müssen).</w:t>
      </w:r>
      <w:r w:rsidR="00CC4475">
        <w:rPr>
          <w:rFonts w:cs="Arial"/>
          <w:szCs w:val="24"/>
        </w:rPr>
        <w:t xml:space="preserve"> </w:t>
      </w:r>
    </w:p>
    <w:p w14:paraId="0FF5066A" w14:textId="77777777" w:rsidR="00CC4475" w:rsidRDefault="00CC4475" w:rsidP="00CC4475">
      <w:pPr>
        <w:spacing w:line="360" w:lineRule="atLeast"/>
        <w:jc w:val="both"/>
        <w:rPr>
          <w:rFonts w:cs="Arial"/>
          <w:szCs w:val="24"/>
        </w:rPr>
      </w:pPr>
    </w:p>
    <w:p w14:paraId="4603C3AF" w14:textId="14CD9090" w:rsidR="00CC1C3B" w:rsidRDefault="00CC4475" w:rsidP="00CC4475">
      <w:pPr>
        <w:spacing w:line="360" w:lineRule="atLeast"/>
        <w:jc w:val="both"/>
        <w:rPr>
          <w:rFonts w:cs="Arial"/>
          <w:szCs w:val="24"/>
        </w:rPr>
      </w:pPr>
      <w:r>
        <w:rPr>
          <w:rFonts w:cs="Arial"/>
          <w:szCs w:val="24"/>
        </w:rPr>
        <w:t xml:space="preserve">Bereits zum Zeitpunkt der Projektierung/Planung sollte – im </w:t>
      </w:r>
      <w:r w:rsidRPr="007357CD">
        <w:rPr>
          <w:rFonts w:cs="Arial"/>
          <w:szCs w:val="24"/>
        </w:rPr>
        <w:t>Sinne eines guten prozessorientierten Projekt- und Zeitmanagements (</w:t>
      </w:r>
      <w:r>
        <w:rPr>
          <w:rFonts w:cs="Arial"/>
          <w:szCs w:val="24"/>
        </w:rPr>
        <w:t xml:space="preserve">s. auch Kapitel 2.1) </w:t>
      </w:r>
      <w:r w:rsidR="009F1E75">
        <w:rPr>
          <w:rFonts w:cs="Arial"/>
          <w:szCs w:val="24"/>
        </w:rPr>
        <w:t>–</w:t>
      </w:r>
      <w:r>
        <w:rPr>
          <w:rFonts w:cs="Arial"/>
          <w:szCs w:val="24"/>
        </w:rPr>
        <w:t xml:space="preserve"> eine Abstimmung zwischen Vorhabenträger und Genehmigungsbehörde der fixen zeitlichen Rahmenbedingungen in einen </w:t>
      </w:r>
      <w:r w:rsidRPr="007357CD">
        <w:t xml:space="preserve">groben </w:t>
      </w:r>
      <w:r w:rsidRPr="00FA189B">
        <w:t>Zeitplan</w:t>
      </w:r>
      <w:r w:rsidRPr="00FA189B">
        <w:rPr>
          <w:rFonts w:cs="Arial"/>
          <w:szCs w:val="24"/>
        </w:rPr>
        <w:t xml:space="preserve"> </w:t>
      </w:r>
      <w:r w:rsidR="008D11D6">
        <w:rPr>
          <w:rFonts w:cs="Arial"/>
          <w:szCs w:val="24"/>
        </w:rPr>
        <w:t>(§10a Abs. 4</w:t>
      </w:r>
      <w:r w:rsidR="00A6539C">
        <w:rPr>
          <w:rFonts w:cs="Arial"/>
          <w:szCs w:val="24"/>
        </w:rPr>
        <w:t xml:space="preserve"> Satz 1</w:t>
      </w:r>
      <w:r w:rsidR="008D11D6">
        <w:rPr>
          <w:rFonts w:cs="Arial"/>
          <w:szCs w:val="24"/>
        </w:rPr>
        <w:t xml:space="preserve"> Nr. 3 BImSchG)</w:t>
      </w:r>
      <w:r w:rsidR="00A6539C">
        <w:rPr>
          <w:rFonts w:cs="Arial"/>
          <w:szCs w:val="24"/>
        </w:rPr>
        <w:t xml:space="preserve"> </w:t>
      </w:r>
      <w:r>
        <w:rPr>
          <w:rFonts w:cs="Arial"/>
          <w:szCs w:val="24"/>
        </w:rPr>
        <w:t>münden, der mit Fortschreiten der Planung konkretisiert wird.</w:t>
      </w:r>
    </w:p>
    <w:p w14:paraId="15A5441F" w14:textId="77777777" w:rsidR="006B63D3" w:rsidRDefault="006B63D3" w:rsidP="00CC4475">
      <w:pPr>
        <w:spacing w:line="360" w:lineRule="atLeast"/>
        <w:jc w:val="both"/>
        <w:rPr>
          <w:rFonts w:cs="Arial"/>
          <w:szCs w:val="24"/>
        </w:rPr>
      </w:pPr>
    </w:p>
    <w:p w14:paraId="4325ED31" w14:textId="77777777" w:rsidR="006B63D3" w:rsidRDefault="006B63D3" w:rsidP="00CC4475">
      <w:pPr>
        <w:spacing w:line="360" w:lineRule="atLeast"/>
        <w:jc w:val="both"/>
        <w:rPr>
          <w:rFonts w:cs="Arial"/>
          <w:szCs w:val="24"/>
        </w:rPr>
      </w:pPr>
    </w:p>
    <w:p w14:paraId="7D058FAF" w14:textId="77777777" w:rsidR="006B63D3" w:rsidRDefault="006B63D3" w:rsidP="00CC4475">
      <w:pPr>
        <w:spacing w:line="360" w:lineRule="atLeast"/>
        <w:jc w:val="both"/>
        <w:rPr>
          <w:rFonts w:cs="Arial"/>
          <w:szCs w:val="24"/>
        </w:rPr>
      </w:pPr>
    </w:p>
    <w:p w14:paraId="3F5DA537" w14:textId="77777777" w:rsidR="006B63D3" w:rsidRPr="00CC4475" w:rsidRDefault="006B63D3" w:rsidP="00CC4475">
      <w:pPr>
        <w:spacing w:line="360" w:lineRule="atLeast"/>
        <w:jc w:val="both"/>
        <w:rPr>
          <w:rFonts w:cs="Arial"/>
          <w:szCs w:val="24"/>
        </w:rPr>
      </w:pPr>
    </w:p>
    <w:p w14:paraId="1976ECBD" w14:textId="77777777" w:rsidR="00CC1C3B" w:rsidRPr="00F95A10" w:rsidRDefault="00CC1C3B" w:rsidP="00E43B3C">
      <w:pPr>
        <w:spacing w:line="360" w:lineRule="atLeast"/>
        <w:jc w:val="both"/>
        <w:rPr>
          <w:rFonts w:cs="Arial"/>
          <w:szCs w:val="24"/>
        </w:rPr>
      </w:pPr>
    </w:p>
    <w:p w14:paraId="0264D22D" w14:textId="77777777" w:rsidR="00CC1C3B" w:rsidRPr="00D22C71" w:rsidRDefault="00CC1C3B" w:rsidP="000C26BF">
      <w:pPr>
        <w:pStyle w:val="UMberschrift2num-Arial-12pt"/>
      </w:pPr>
      <w:bookmarkStart w:id="3" w:name="Jourfixes"/>
      <w:r w:rsidRPr="00D22C71">
        <w:lastRenderedPageBreak/>
        <w:t>Jour</w:t>
      </w:r>
      <w:r w:rsidR="00BB7AB5">
        <w:t>s</w:t>
      </w:r>
      <w:r w:rsidR="001739C9">
        <w:t xml:space="preserve"> </w:t>
      </w:r>
      <w:r w:rsidRPr="00D22C71">
        <w:t>fixe</w:t>
      </w:r>
      <w:r w:rsidR="00BB7AB5">
        <w:t>s</w:t>
      </w:r>
      <w:bookmarkEnd w:id="3"/>
    </w:p>
    <w:p w14:paraId="1DF56236" w14:textId="77777777" w:rsidR="006B63D3" w:rsidRDefault="006B63D3" w:rsidP="00CC1C3B">
      <w:pPr>
        <w:spacing w:line="360" w:lineRule="atLeast"/>
        <w:jc w:val="both"/>
        <w:rPr>
          <w:rFonts w:cs="Arial"/>
          <w:szCs w:val="24"/>
        </w:rPr>
      </w:pPr>
    </w:p>
    <w:p w14:paraId="70DFAEB5" w14:textId="50A9D24B" w:rsidR="005C022D" w:rsidRDefault="00CC1C3B" w:rsidP="00CC1C3B">
      <w:pPr>
        <w:spacing w:line="360" w:lineRule="atLeast"/>
        <w:jc w:val="both"/>
        <w:rPr>
          <w:rFonts w:cs="Arial"/>
          <w:szCs w:val="24"/>
        </w:rPr>
      </w:pPr>
      <w:r w:rsidRPr="00F95A10">
        <w:rPr>
          <w:rFonts w:cs="Arial"/>
          <w:szCs w:val="24"/>
        </w:rPr>
        <w:t>Mit</w:t>
      </w:r>
      <w:r w:rsidR="005C022D">
        <w:rPr>
          <w:rFonts w:cs="Arial"/>
          <w:szCs w:val="24"/>
        </w:rPr>
        <w:t>hilfe gemeinsamer regelmäßiger</w:t>
      </w:r>
      <w:r w:rsidRPr="00F95A10">
        <w:rPr>
          <w:rFonts w:cs="Arial"/>
          <w:szCs w:val="24"/>
        </w:rPr>
        <w:t xml:space="preserve"> Jour</w:t>
      </w:r>
      <w:r w:rsidR="001739C9">
        <w:rPr>
          <w:rFonts w:cs="Arial"/>
          <w:szCs w:val="24"/>
        </w:rPr>
        <w:t xml:space="preserve">s </w:t>
      </w:r>
      <w:r w:rsidRPr="00F95A10">
        <w:rPr>
          <w:rFonts w:cs="Arial"/>
          <w:szCs w:val="24"/>
        </w:rPr>
        <w:t xml:space="preserve">fixes wird sichergestellt, dass </w:t>
      </w:r>
      <w:r w:rsidR="005C5D1D">
        <w:rPr>
          <w:rFonts w:cs="Arial"/>
          <w:szCs w:val="24"/>
        </w:rPr>
        <w:t>Vorhabenträger</w:t>
      </w:r>
      <w:r w:rsidRPr="00F95A10">
        <w:rPr>
          <w:rFonts w:cs="Arial"/>
          <w:szCs w:val="24"/>
        </w:rPr>
        <w:t xml:space="preserve"> und </w:t>
      </w:r>
      <w:r w:rsidRPr="007357CD">
        <w:rPr>
          <w:rFonts w:cs="Arial"/>
          <w:szCs w:val="24"/>
        </w:rPr>
        <w:t>Genehmigungsbehörde auf einem gleichen Informationsstand gehalten werden und flexibel und zeitnah auf mögliche neue Anforderungen im Verfahren reagieren können.</w:t>
      </w:r>
      <w:r w:rsidRPr="00F95A10">
        <w:rPr>
          <w:rFonts w:cs="Arial"/>
          <w:szCs w:val="24"/>
        </w:rPr>
        <w:t xml:space="preserve"> </w:t>
      </w:r>
    </w:p>
    <w:p w14:paraId="503E55F5" w14:textId="77777777" w:rsidR="005C022D" w:rsidRDefault="005C022D" w:rsidP="00CC1C3B">
      <w:pPr>
        <w:spacing w:line="360" w:lineRule="atLeast"/>
        <w:jc w:val="both"/>
        <w:rPr>
          <w:rFonts w:cs="Arial"/>
          <w:szCs w:val="24"/>
        </w:rPr>
      </w:pPr>
    </w:p>
    <w:p w14:paraId="027480AF" w14:textId="3130A8FC" w:rsidR="00CC1C3B" w:rsidRDefault="00CC1C3B" w:rsidP="00CC1C3B">
      <w:pPr>
        <w:spacing w:line="360" w:lineRule="atLeast"/>
        <w:jc w:val="both"/>
        <w:rPr>
          <w:rFonts w:cs="Arial"/>
          <w:szCs w:val="24"/>
        </w:rPr>
      </w:pPr>
      <w:r w:rsidRPr="00F95A10">
        <w:rPr>
          <w:rFonts w:cs="Arial"/>
          <w:szCs w:val="24"/>
        </w:rPr>
        <w:t>Die Jour</w:t>
      </w:r>
      <w:r w:rsidR="001739C9">
        <w:rPr>
          <w:rFonts w:cs="Arial"/>
          <w:szCs w:val="24"/>
        </w:rPr>
        <w:t xml:space="preserve">s </w:t>
      </w:r>
      <w:r w:rsidRPr="00F95A10">
        <w:rPr>
          <w:rFonts w:cs="Arial"/>
          <w:szCs w:val="24"/>
        </w:rPr>
        <w:t>fixes sollten je nach Stand des Verfahrens monatlich oder quartalsweise durchgeführt und im Voraus (</w:t>
      </w:r>
      <w:r w:rsidR="00093BF6">
        <w:rPr>
          <w:rFonts w:cs="Arial"/>
          <w:szCs w:val="24"/>
        </w:rPr>
        <w:t>„</w:t>
      </w:r>
      <w:r w:rsidRPr="00F95A10">
        <w:rPr>
          <w:rFonts w:cs="Arial"/>
          <w:szCs w:val="24"/>
        </w:rPr>
        <w:t>save-</w:t>
      </w:r>
      <w:proofErr w:type="spellStart"/>
      <w:r w:rsidRPr="00F95A10">
        <w:rPr>
          <w:rFonts w:cs="Arial"/>
          <w:szCs w:val="24"/>
        </w:rPr>
        <w:t>the</w:t>
      </w:r>
      <w:proofErr w:type="spellEnd"/>
      <w:r w:rsidRPr="00F95A10">
        <w:rPr>
          <w:rFonts w:cs="Arial"/>
          <w:szCs w:val="24"/>
        </w:rPr>
        <w:t>-date</w:t>
      </w:r>
      <w:r w:rsidR="00093BF6">
        <w:rPr>
          <w:rFonts w:cs="Arial"/>
          <w:szCs w:val="24"/>
        </w:rPr>
        <w:t>“</w:t>
      </w:r>
      <w:r w:rsidRPr="00F95A10">
        <w:rPr>
          <w:rFonts w:cs="Arial"/>
          <w:szCs w:val="24"/>
        </w:rPr>
        <w:t xml:space="preserve">) terminiert werden. </w:t>
      </w:r>
      <w:r w:rsidR="00093BF6">
        <w:rPr>
          <w:rFonts w:cs="Arial"/>
          <w:szCs w:val="24"/>
        </w:rPr>
        <w:t>Sollten zum vorgesehenen Termin</w:t>
      </w:r>
      <w:r w:rsidR="00093BF6" w:rsidRPr="00F95A10">
        <w:rPr>
          <w:rFonts w:cs="Arial"/>
          <w:szCs w:val="24"/>
        </w:rPr>
        <w:t xml:space="preserve"> </w:t>
      </w:r>
      <w:r w:rsidRPr="00F95A10">
        <w:rPr>
          <w:rFonts w:cs="Arial"/>
          <w:szCs w:val="24"/>
        </w:rPr>
        <w:t>keine neuen Informationen vorliegen, können sie auch in gegenseitiger Abstimmung abgesagt werden.</w:t>
      </w:r>
      <w:r w:rsidR="00DD2F95">
        <w:rPr>
          <w:rFonts w:cs="Arial"/>
          <w:szCs w:val="24"/>
        </w:rPr>
        <w:t xml:space="preserve"> </w:t>
      </w:r>
      <w:r w:rsidR="00586C0C">
        <w:rPr>
          <w:rFonts w:cs="Arial"/>
          <w:szCs w:val="24"/>
        </w:rPr>
        <w:t>Auch a</w:t>
      </w:r>
      <w:r w:rsidR="00DD2F95">
        <w:rPr>
          <w:rFonts w:cs="Arial"/>
          <w:szCs w:val="24"/>
        </w:rPr>
        <w:t>ußerhalb d</w:t>
      </w:r>
      <w:r w:rsidR="00586C0C">
        <w:rPr>
          <w:rFonts w:cs="Arial"/>
          <w:szCs w:val="24"/>
        </w:rPr>
        <w:t>ies</w:t>
      </w:r>
      <w:r w:rsidR="00DD2F95">
        <w:rPr>
          <w:rFonts w:cs="Arial"/>
          <w:szCs w:val="24"/>
        </w:rPr>
        <w:t>er regelmäßigen und geplanten Jour</w:t>
      </w:r>
      <w:r w:rsidR="00F64802">
        <w:rPr>
          <w:rFonts w:cs="Arial"/>
          <w:szCs w:val="24"/>
        </w:rPr>
        <w:t>s</w:t>
      </w:r>
      <w:r w:rsidR="00DD2F95">
        <w:rPr>
          <w:rFonts w:cs="Arial"/>
          <w:szCs w:val="24"/>
        </w:rPr>
        <w:t xml:space="preserve"> fixes </w:t>
      </w:r>
      <w:r w:rsidR="00586212">
        <w:rPr>
          <w:rFonts w:cs="Arial"/>
          <w:szCs w:val="24"/>
        </w:rPr>
        <w:t xml:space="preserve">sollten </w:t>
      </w:r>
      <w:r w:rsidR="00AB394F">
        <w:rPr>
          <w:rFonts w:cs="Arial"/>
          <w:szCs w:val="24"/>
        </w:rPr>
        <w:t xml:space="preserve">bei Bedarf </w:t>
      </w:r>
      <w:r w:rsidR="00586C0C">
        <w:rPr>
          <w:rFonts w:cs="Arial"/>
          <w:szCs w:val="24"/>
        </w:rPr>
        <w:t>anlassbezogene</w:t>
      </w:r>
      <w:r w:rsidR="00DD2F95">
        <w:rPr>
          <w:rFonts w:cs="Arial"/>
          <w:szCs w:val="24"/>
        </w:rPr>
        <w:t xml:space="preserve"> Abstimmungen zwischen</w:t>
      </w:r>
      <w:r w:rsidR="00586C0C">
        <w:rPr>
          <w:rFonts w:cs="Arial"/>
          <w:szCs w:val="24"/>
        </w:rPr>
        <w:t xml:space="preserve"> dem Vorhabenträger und der Genehmigungsbehörde </w:t>
      </w:r>
      <w:r w:rsidR="00AB394F">
        <w:rPr>
          <w:rFonts w:cs="Arial"/>
          <w:szCs w:val="24"/>
        </w:rPr>
        <w:t xml:space="preserve">ergänzend </w:t>
      </w:r>
      <w:r w:rsidR="00586212">
        <w:rPr>
          <w:rFonts w:cs="Arial"/>
          <w:szCs w:val="24"/>
        </w:rPr>
        <w:t>durchgeführt werden</w:t>
      </w:r>
      <w:r w:rsidR="00586C0C">
        <w:rPr>
          <w:rFonts w:cs="Arial"/>
          <w:szCs w:val="24"/>
        </w:rPr>
        <w:t xml:space="preserve">. </w:t>
      </w:r>
      <w:r w:rsidR="00DD2F95">
        <w:rPr>
          <w:rFonts w:cs="Arial"/>
          <w:szCs w:val="24"/>
        </w:rPr>
        <w:t xml:space="preserve"> </w:t>
      </w:r>
    </w:p>
    <w:p w14:paraId="4A796389" w14:textId="77777777" w:rsidR="005C022D" w:rsidRPr="00F95A10" w:rsidRDefault="005C022D" w:rsidP="00CC1C3B">
      <w:pPr>
        <w:spacing w:line="360" w:lineRule="atLeast"/>
        <w:jc w:val="both"/>
        <w:rPr>
          <w:rFonts w:cs="Arial"/>
          <w:szCs w:val="24"/>
        </w:rPr>
      </w:pPr>
    </w:p>
    <w:p w14:paraId="2DEC4DD3" w14:textId="77777777" w:rsidR="00CC1C3B" w:rsidRDefault="00CC1C3B" w:rsidP="00CC1C3B">
      <w:pPr>
        <w:spacing w:line="360" w:lineRule="atLeast"/>
        <w:jc w:val="both"/>
        <w:rPr>
          <w:rFonts w:cs="Arial"/>
          <w:szCs w:val="24"/>
        </w:rPr>
      </w:pPr>
      <w:r w:rsidRPr="00FA189B">
        <w:rPr>
          <w:rFonts w:cs="Arial"/>
          <w:szCs w:val="24"/>
        </w:rPr>
        <w:t>Ein</w:t>
      </w:r>
      <w:r w:rsidR="004E5595" w:rsidRPr="00FA189B">
        <w:rPr>
          <w:rFonts w:cs="Arial"/>
          <w:szCs w:val="24"/>
        </w:rPr>
        <w:t>e</w:t>
      </w:r>
      <w:r w:rsidRPr="00FA189B">
        <w:rPr>
          <w:rFonts w:cs="Arial"/>
          <w:szCs w:val="24"/>
        </w:rPr>
        <w:t xml:space="preserve"> gute</w:t>
      </w:r>
      <w:r w:rsidR="004E5595" w:rsidRPr="00FA189B">
        <w:rPr>
          <w:rFonts w:cs="Arial"/>
          <w:szCs w:val="24"/>
        </w:rPr>
        <w:t xml:space="preserve"> Kommunikation</w:t>
      </w:r>
      <w:r w:rsidRPr="00FA189B">
        <w:rPr>
          <w:rFonts w:cs="Arial"/>
          <w:szCs w:val="24"/>
        </w:rPr>
        <w:t xml:space="preserve"> </w:t>
      </w:r>
      <w:r w:rsidRPr="007B40A0">
        <w:rPr>
          <w:rFonts w:cs="Arial"/>
          <w:szCs w:val="24"/>
        </w:rPr>
        <w:t xml:space="preserve">zwischen den handelnden Personen der Behörde und des </w:t>
      </w:r>
      <w:r w:rsidR="005701A1" w:rsidRPr="00F83318">
        <w:rPr>
          <w:rFonts w:cs="Arial"/>
          <w:szCs w:val="24"/>
        </w:rPr>
        <w:t xml:space="preserve">Vorhabenträgers </w:t>
      </w:r>
      <w:r w:rsidRPr="00FA189B">
        <w:rPr>
          <w:rFonts w:cs="Arial"/>
          <w:szCs w:val="24"/>
        </w:rPr>
        <w:t>ist eine Grundvoraussetzung für ein möglichst reibungslos ablaufendes Genehmigungsverfahren</w:t>
      </w:r>
      <w:r w:rsidR="007357CD" w:rsidRPr="00FA189B">
        <w:rPr>
          <w:rFonts w:cs="Arial"/>
          <w:szCs w:val="24"/>
        </w:rPr>
        <w:t>.</w:t>
      </w:r>
      <w:r w:rsidRPr="00FA189B">
        <w:rPr>
          <w:rFonts w:cs="Arial"/>
          <w:szCs w:val="24"/>
        </w:rPr>
        <w:t xml:space="preserve"> Basis für ein </w:t>
      </w:r>
      <w:r w:rsidR="00217768" w:rsidRPr="00FA189B">
        <w:rPr>
          <w:rFonts w:cs="Arial"/>
          <w:szCs w:val="24"/>
        </w:rPr>
        <w:t>gutes Zusammenwirken</w:t>
      </w:r>
      <w:r w:rsidRPr="00FA189B">
        <w:rPr>
          <w:rFonts w:cs="Arial"/>
          <w:szCs w:val="24"/>
        </w:rPr>
        <w:t xml:space="preserve"> ist wiederum Kompetenz und Verbindlichkeit sowie insbesondere gegenseitiges Verständnis. Auch dies kann </w:t>
      </w:r>
      <w:r w:rsidR="001739C9" w:rsidRPr="00FA189B">
        <w:rPr>
          <w:rFonts w:cs="Arial"/>
          <w:szCs w:val="24"/>
        </w:rPr>
        <w:t>durch regelmäßige Jours f</w:t>
      </w:r>
      <w:r w:rsidRPr="00FA189B">
        <w:rPr>
          <w:rFonts w:cs="Arial"/>
          <w:szCs w:val="24"/>
        </w:rPr>
        <w:t>ixe</w:t>
      </w:r>
      <w:r w:rsidR="001739C9" w:rsidRPr="00FA189B">
        <w:rPr>
          <w:rFonts w:cs="Arial"/>
          <w:szCs w:val="24"/>
        </w:rPr>
        <w:t>s</w:t>
      </w:r>
      <w:r w:rsidRPr="00FA189B">
        <w:rPr>
          <w:rFonts w:cs="Arial"/>
          <w:szCs w:val="24"/>
        </w:rPr>
        <w:t xml:space="preserve"> </w:t>
      </w:r>
      <w:r w:rsidR="00D51C69" w:rsidRPr="00FA189B">
        <w:rPr>
          <w:rFonts w:cs="Arial"/>
          <w:szCs w:val="24"/>
        </w:rPr>
        <w:t xml:space="preserve">gefördert </w:t>
      </w:r>
      <w:r w:rsidRPr="00FA189B">
        <w:rPr>
          <w:rFonts w:cs="Arial"/>
          <w:szCs w:val="24"/>
        </w:rPr>
        <w:t>werden.</w:t>
      </w:r>
      <w:r w:rsidRPr="00F95A10">
        <w:rPr>
          <w:rFonts w:cs="Arial"/>
          <w:szCs w:val="24"/>
        </w:rPr>
        <w:t xml:space="preserve"> </w:t>
      </w:r>
    </w:p>
    <w:p w14:paraId="5D7253F8" w14:textId="77777777" w:rsidR="005C022D" w:rsidRPr="00F95A10" w:rsidRDefault="005C022D" w:rsidP="00CC1C3B">
      <w:pPr>
        <w:spacing w:line="360" w:lineRule="atLeast"/>
        <w:jc w:val="both"/>
        <w:rPr>
          <w:rFonts w:cs="Arial"/>
          <w:szCs w:val="24"/>
        </w:rPr>
      </w:pPr>
    </w:p>
    <w:p w14:paraId="060C3367" w14:textId="36BE64E8" w:rsidR="00E43B3C" w:rsidRDefault="00CC1C3B" w:rsidP="00CC1C3B">
      <w:pPr>
        <w:pStyle w:val="BW1Standard"/>
      </w:pPr>
      <w:r w:rsidRPr="00F95A10">
        <w:t xml:space="preserve">Insbesondere weil die Verfahren von </w:t>
      </w:r>
      <w:r w:rsidR="00FA66FC">
        <w:t xml:space="preserve">der </w:t>
      </w:r>
      <w:r w:rsidRPr="00F95A10">
        <w:t>erste</w:t>
      </w:r>
      <w:r w:rsidR="00FA66FC">
        <w:t>n</w:t>
      </w:r>
      <w:r w:rsidRPr="00F95A10">
        <w:t xml:space="preserve"> Kontaktaufnahme bis zur Antragstellung lange </w:t>
      </w:r>
      <w:r w:rsidR="00FA66FC">
        <w:t>dauern</w:t>
      </w:r>
      <w:r w:rsidR="00A6539C">
        <w:t xml:space="preserve"> können</w:t>
      </w:r>
      <w:r w:rsidR="00F06D62">
        <w:t xml:space="preserve">, </w:t>
      </w:r>
      <w:r w:rsidRPr="00F95A10">
        <w:t xml:space="preserve">ist Kontinuität sehr wichtig. </w:t>
      </w:r>
      <w:r w:rsidR="00A6539C">
        <w:t>Die Erfahrung zeigt jedoch, dass</w:t>
      </w:r>
      <w:r w:rsidR="00A6539C" w:rsidRPr="00F95A10">
        <w:t xml:space="preserve"> </w:t>
      </w:r>
      <w:r w:rsidRPr="00F95A10">
        <w:t xml:space="preserve">personelle Veränderungen </w:t>
      </w:r>
      <w:r w:rsidR="00F80A1A">
        <w:t xml:space="preserve">sowohl auf Seiten der Vorhabenträger als auch auf Seiten der Genehmigungsbehörden und </w:t>
      </w:r>
      <w:proofErr w:type="spellStart"/>
      <w:r w:rsidR="00F80A1A">
        <w:t>TöB</w:t>
      </w:r>
      <w:proofErr w:type="spellEnd"/>
      <w:r w:rsidR="00F80A1A">
        <w:t xml:space="preserve"> </w:t>
      </w:r>
      <w:r w:rsidRPr="00F95A10">
        <w:t xml:space="preserve">nicht immer vermeidbar sind. Auch hier kann der regelmäßige Austausch in </w:t>
      </w:r>
      <w:r w:rsidR="001739C9">
        <w:t xml:space="preserve">Jours </w:t>
      </w:r>
      <w:r w:rsidRPr="00F95A10">
        <w:t xml:space="preserve">fixes und insbesondere dessen Dokumentation in Protokollen für Kontinuität </w:t>
      </w:r>
      <w:r w:rsidR="00F80A1A">
        <w:t xml:space="preserve">durch strukturierten Wissenstransfer </w:t>
      </w:r>
      <w:r w:rsidRPr="00F95A10">
        <w:t>sorgen.</w:t>
      </w:r>
    </w:p>
    <w:p w14:paraId="1D1CB5E2" w14:textId="77777777" w:rsidR="00CC1C3B" w:rsidRDefault="00CC1C3B" w:rsidP="00CC1C3B">
      <w:pPr>
        <w:pStyle w:val="BW1Standard"/>
        <w:rPr>
          <w:b/>
        </w:rPr>
      </w:pPr>
    </w:p>
    <w:p w14:paraId="717A732B" w14:textId="7F4BF038" w:rsidR="000058E4" w:rsidRDefault="00E578E7" w:rsidP="000C26BF">
      <w:pPr>
        <w:pStyle w:val="UMberschrift2num-Arial-12pt"/>
      </w:pPr>
      <w:r>
        <w:t>Früh</w:t>
      </w:r>
      <w:r w:rsidR="004D4D41">
        <w:t>zeitige</w:t>
      </w:r>
      <w:r>
        <w:t xml:space="preserve"> Berücksichtigung weiter</w:t>
      </w:r>
      <w:r w:rsidR="005C022D">
        <w:t>er Belange</w:t>
      </w:r>
      <w:r w:rsidR="000058E4">
        <w:t xml:space="preserve"> </w:t>
      </w:r>
    </w:p>
    <w:p w14:paraId="21F24392" w14:textId="77777777" w:rsidR="00401945" w:rsidRDefault="00401945" w:rsidP="00C00712">
      <w:pPr>
        <w:spacing w:line="360" w:lineRule="atLeast"/>
        <w:jc w:val="both"/>
      </w:pPr>
    </w:p>
    <w:p w14:paraId="01A1312F" w14:textId="497E2301" w:rsidR="00C00712" w:rsidRPr="00C00712" w:rsidRDefault="005C022D" w:rsidP="00C00712">
      <w:pPr>
        <w:spacing w:line="360" w:lineRule="atLeast"/>
        <w:jc w:val="both"/>
      </w:pPr>
      <w:r>
        <w:t xml:space="preserve">Bereits zu einem frühen Zeitpunkt des Projekts sollte über zu erwartende Belange berührter Fachbereiche gesprochen werden. </w:t>
      </w:r>
      <w:r w:rsidR="00C00712">
        <w:rPr>
          <w:rFonts w:cs="Arial"/>
          <w:szCs w:val="24"/>
        </w:rPr>
        <w:t>So sind z.</w:t>
      </w:r>
      <w:r w:rsidR="00F80A1A">
        <w:rPr>
          <w:rFonts w:cs="Arial"/>
          <w:szCs w:val="24"/>
        </w:rPr>
        <w:t> </w:t>
      </w:r>
      <w:r w:rsidR="00C00712">
        <w:rPr>
          <w:rFonts w:cs="Arial"/>
          <w:szCs w:val="24"/>
        </w:rPr>
        <w:t>B. d</w:t>
      </w:r>
      <w:r w:rsidR="00C00712" w:rsidRPr="00F95A10">
        <w:rPr>
          <w:rFonts w:cs="Arial"/>
          <w:szCs w:val="24"/>
        </w:rPr>
        <w:t xml:space="preserve">ie Zuwegungen zu den </w:t>
      </w:r>
      <w:r w:rsidR="00401945">
        <w:rPr>
          <w:rFonts w:cs="Arial"/>
          <w:szCs w:val="24"/>
        </w:rPr>
        <w:t>WEA-Standorten</w:t>
      </w:r>
      <w:r w:rsidR="00401945" w:rsidRPr="00F95A10">
        <w:rPr>
          <w:rFonts w:cs="Arial"/>
          <w:szCs w:val="24"/>
        </w:rPr>
        <w:t xml:space="preserve"> </w:t>
      </w:r>
      <w:r w:rsidR="00C00712" w:rsidRPr="00F95A10">
        <w:rPr>
          <w:rFonts w:cs="Arial"/>
          <w:szCs w:val="24"/>
        </w:rPr>
        <w:t xml:space="preserve">wichtig und </w:t>
      </w:r>
      <w:r w:rsidR="00A6539C">
        <w:rPr>
          <w:rFonts w:cs="Arial"/>
          <w:szCs w:val="24"/>
        </w:rPr>
        <w:t xml:space="preserve">können </w:t>
      </w:r>
      <w:r w:rsidR="00C00712" w:rsidRPr="00F95A10">
        <w:rPr>
          <w:rFonts w:cs="Arial"/>
          <w:szCs w:val="24"/>
        </w:rPr>
        <w:t>das gesamte Verfahren</w:t>
      </w:r>
      <w:r w:rsidR="00A6539C">
        <w:rPr>
          <w:rFonts w:cs="Arial"/>
          <w:szCs w:val="24"/>
        </w:rPr>
        <w:t xml:space="preserve"> beeinflussen</w:t>
      </w:r>
      <w:r w:rsidR="00C00712" w:rsidRPr="00F95A10">
        <w:rPr>
          <w:rFonts w:cs="Arial"/>
          <w:szCs w:val="24"/>
        </w:rPr>
        <w:t>.</w:t>
      </w:r>
      <w:r w:rsidR="00C00712">
        <w:rPr>
          <w:rFonts w:cs="Arial"/>
          <w:szCs w:val="24"/>
        </w:rPr>
        <w:t xml:space="preserve"> </w:t>
      </w:r>
      <w:r w:rsidR="003D3002">
        <w:rPr>
          <w:rFonts w:cs="Arial"/>
          <w:szCs w:val="24"/>
        </w:rPr>
        <w:t xml:space="preserve">Bei Zuwegungen im Wald betrifft dies </w:t>
      </w:r>
      <w:r w:rsidR="00A6539C">
        <w:rPr>
          <w:rFonts w:cs="Arial"/>
          <w:szCs w:val="24"/>
        </w:rPr>
        <w:t xml:space="preserve">insbesondere </w:t>
      </w:r>
      <w:r w:rsidR="003D3002">
        <w:rPr>
          <w:rFonts w:cs="Arial"/>
          <w:szCs w:val="24"/>
        </w:rPr>
        <w:t>die erforderliche Waldumwandlungsgenehmigung</w:t>
      </w:r>
      <w:r w:rsidR="00A6539C">
        <w:t xml:space="preserve"> </w:t>
      </w:r>
      <w:r w:rsidR="00A6539C">
        <w:rPr>
          <w:rFonts w:cs="Arial"/>
          <w:szCs w:val="24"/>
        </w:rPr>
        <w:t>inklusive der Betroffenheit naturschutzrechtlich relevanter Bereiche</w:t>
      </w:r>
      <w:r w:rsidR="003D3002">
        <w:rPr>
          <w:rFonts w:cs="Arial"/>
          <w:szCs w:val="24"/>
        </w:rPr>
        <w:t xml:space="preserve">, bei Zuwegungen durch Offenland </w:t>
      </w:r>
      <w:r w:rsidR="000C3498">
        <w:rPr>
          <w:rFonts w:cs="Arial"/>
          <w:szCs w:val="24"/>
        </w:rPr>
        <w:t>ist eine</w:t>
      </w:r>
      <w:r w:rsidR="003D3002">
        <w:rPr>
          <w:rFonts w:cs="Arial"/>
          <w:szCs w:val="24"/>
        </w:rPr>
        <w:t xml:space="preserve"> bau- und naturschutzrechtliche Genehmigung erforderlich. </w:t>
      </w:r>
      <w:r w:rsidR="00EA2329">
        <w:rPr>
          <w:rFonts w:cs="Arial"/>
          <w:szCs w:val="24"/>
        </w:rPr>
        <w:lastRenderedPageBreak/>
        <w:t>Auch die Denkmalschutzbehörden sollten frühzeitig beteiligt werden, um die Betroffenheit von Kulturdenkmalen zu prüfen.</w:t>
      </w:r>
    </w:p>
    <w:p w14:paraId="1FE89598" w14:textId="77777777" w:rsidR="00C00712" w:rsidRDefault="00C00712" w:rsidP="00C00712">
      <w:pPr>
        <w:spacing w:line="360" w:lineRule="atLeast"/>
        <w:jc w:val="both"/>
        <w:rPr>
          <w:rFonts w:cs="Arial"/>
          <w:szCs w:val="24"/>
        </w:rPr>
      </w:pPr>
    </w:p>
    <w:p w14:paraId="2A7FB06F" w14:textId="6DAEA30D" w:rsidR="00AB394F" w:rsidRPr="00DB0C3C" w:rsidRDefault="00AB394F" w:rsidP="00AB394F">
      <w:pPr>
        <w:pStyle w:val="UMFlietextArial12pt"/>
      </w:pPr>
      <w:r>
        <w:t>Es hat sich mittlerweile herausgestellt, dass oftmals</w:t>
      </w:r>
      <w:r w:rsidRPr="00597219">
        <w:t xml:space="preserve"> nach Stilllegung alter </w:t>
      </w:r>
      <w:r w:rsidR="00401945">
        <w:t xml:space="preserve">WEA </w:t>
      </w:r>
      <w:r>
        <w:t xml:space="preserve">die ursprünglichen Eingriffsflächen nicht oder nur in geringem Umfang erneut in Anspruch </w:t>
      </w:r>
      <w:r w:rsidRPr="00DB0C3C">
        <w:t xml:space="preserve">genommen werden. Es </w:t>
      </w:r>
      <w:r w:rsidR="00BD0CD3">
        <w:t>kann</w:t>
      </w:r>
      <w:r w:rsidRPr="00DB0C3C">
        <w:t xml:space="preserve"> somit in vielen Fällen in der Praxis von einer zeitlich befristeten Inanspruchnahme für </w:t>
      </w:r>
      <w:r w:rsidR="00401945">
        <w:t>WEA</w:t>
      </w:r>
      <w:r w:rsidR="00401945" w:rsidRPr="00DB0C3C">
        <w:t xml:space="preserve"> </w:t>
      </w:r>
      <w:r w:rsidRPr="00DB0C3C">
        <w:t xml:space="preserve">im Wald in einer Größenordnung von </w:t>
      </w:r>
      <w:r>
        <w:t>30</w:t>
      </w:r>
      <w:r w:rsidRPr="00DB0C3C">
        <w:t xml:space="preserve"> Jahren ausgegangen werden, nach der eine bodentechnische Rekultivierung und Wiederbewaldung erfolgen kann.</w:t>
      </w:r>
      <w:r w:rsidR="00A6539C">
        <w:t xml:space="preserve"> Es besteht in solchen Fällen für den Vorhabenträger die Möglichkeit, eine auf maximal 30 Jahre befristete Waldumwandlungsgenehmigung zu beantragen. </w:t>
      </w:r>
      <w:r w:rsidRPr="00DB0C3C">
        <w:t xml:space="preserve">Die </w:t>
      </w:r>
      <w:r w:rsidR="00EE3C74">
        <w:t xml:space="preserve">Genehmigungsbehörde und die </w:t>
      </w:r>
      <w:r w:rsidRPr="00DB0C3C">
        <w:t>höhere Forstbehörde soll</w:t>
      </w:r>
      <w:r w:rsidR="00EE3C74">
        <w:t>en</w:t>
      </w:r>
      <w:r w:rsidRPr="00DB0C3C">
        <w:t xml:space="preserve"> </w:t>
      </w:r>
      <w:r w:rsidR="00BD0CD3">
        <w:t xml:space="preserve">deshalb </w:t>
      </w:r>
      <w:r w:rsidR="00A6539C">
        <w:t>frühzeitig</w:t>
      </w:r>
      <w:r w:rsidR="00A6539C" w:rsidRPr="00DB0C3C">
        <w:t xml:space="preserve"> </w:t>
      </w:r>
      <w:r w:rsidRPr="00DB0C3C">
        <w:t xml:space="preserve">auf die Option der befristeten Waldumwandlung </w:t>
      </w:r>
      <w:r>
        <w:t xml:space="preserve">am Anlagenstandort </w:t>
      </w:r>
      <w:r w:rsidRPr="00DB0C3C">
        <w:t xml:space="preserve">hinweisen und </w:t>
      </w:r>
      <w:r w:rsidR="00A6539C">
        <w:t>die Vorhabenträger</w:t>
      </w:r>
      <w:r w:rsidRPr="00DB0C3C">
        <w:t xml:space="preserve"> im Vorfeld</w:t>
      </w:r>
      <w:r>
        <w:t xml:space="preserve"> dementsprechend beraten. Dabei ist zu beachten, dass in diesem Fall aufgrund der Konzentrationswirkung auch nur eine dementsprechend befristete immissionsschutzrechtliche Genehmigung beantragt </w:t>
      </w:r>
      <w:r w:rsidR="00CB2A14">
        <w:t xml:space="preserve">und erteilt </w:t>
      </w:r>
      <w:r>
        <w:t>werden kann (vgl. § 12 Abs. 2 S. 1 BImSchG).</w:t>
      </w:r>
    </w:p>
    <w:p w14:paraId="7FA054B5" w14:textId="309305BE" w:rsidR="00ED06EC" w:rsidRDefault="00AB394F" w:rsidP="00AB394F">
      <w:pPr>
        <w:spacing w:line="360" w:lineRule="atLeast"/>
        <w:jc w:val="both"/>
        <w:rPr>
          <w:rFonts w:cs="Arial"/>
          <w:szCs w:val="24"/>
        </w:rPr>
      </w:pPr>
      <w:r w:rsidRPr="00DB0C3C">
        <w:t xml:space="preserve">Bei befristeten Waldumwandlungen kann grundsätzlich auf einen forstrechtlichen Ausgleich durch Neuaufforstung geeigneter Grundstücksflächen in der Nähe (sog. Ersatzaufforstungsfläche) verzichtet werden. Dies kann in Regionen, </w:t>
      </w:r>
      <w:r w:rsidR="000B7FE4">
        <w:t>in denen</w:t>
      </w:r>
      <w:r w:rsidR="000B7FE4" w:rsidRPr="00DB0C3C">
        <w:t xml:space="preserve"> </w:t>
      </w:r>
      <w:r w:rsidRPr="00DB0C3C">
        <w:t>potentielle Ersatzaufforstungsflächen knapp sind, zu Erleichterungen führen und die Verfahren beschleunigen.</w:t>
      </w:r>
      <w:r>
        <w:t xml:space="preserve"> </w:t>
      </w:r>
      <w:r w:rsidRPr="00597219">
        <w:t>Langwierige</w:t>
      </w:r>
      <w:r>
        <w:t>s</w:t>
      </w:r>
      <w:r w:rsidRPr="00597219">
        <w:t xml:space="preserve"> Suchen nach </w:t>
      </w:r>
      <w:r>
        <w:t>Ersatzaufforstungs</w:t>
      </w:r>
      <w:r w:rsidRPr="00597219">
        <w:t>flächen</w:t>
      </w:r>
      <w:r>
        <w:t>,</w:t>
      </w:r>
      <w:r w:rsidRPr="00597219">
        <w:t xml:space="preserve"> wie </w:t>
      </w:r>
      <w:r>
        <w:t xml:space="preserve">es </w:t>
      </w:r>
      <w:r w:rsidRPr="00597219">
        <w:t>in der Vergangenheit</w:t>
      </w:r>
      <w:r>
        <w:t xml:space="preserve"> erforderlich war,</w:t>
      </w:r>
      <w:r w:rsidRPr="00597219">
        <w:t xml:space="preserve"> könnte entfallen</w:t>
      </w:r>
      <w:r>
        <w:t>.</w:t>
      </w:r>
    </w:p>
    <w:p w14:paraId="44DEA169" w14:textId="77777777" w:rsidR="00ED06EC" w:rsidRDefault="00ED06EC" w:rsidP="00C00712">
      <w:pPr>
        <w:spacing w:line="360" w:lineRule="atLeast"/>
        <w:jc w:val="both"/>
        <w:rPr>
          <w:rFonts w:cs="Arial"/>
          <w:szCs w:val="24"/>
        </w:rPr>
      </w:pPr>
    </w:p>
    <w:p w14:paraId="04D91732" w14:textId="0941E092" w:rsidR="000058E4" w:rsidRDefault="00AB394F" w:rsidP="00A91E51">
      <w:pPr>
        <w:spacing w:line="360" w:lineRule="atLeast"/>
        <w:jc w:val="both"/>
        <w:rPr>
          <w:rFonts w:cs="Arial"/>
          <w:szCs w:val="24"/>
        </w:rPr>
      </w:pPr>
      <w:r>
        <w:rPr>
          <w:rFonts w:cs="Arial"/>
          <w:szCs w:val="24"/>
        </w:rPr>
        <w:t xml:space="preserve">Auf </w:t>
      </w:r>
      <w:r w:rsidR="005C077B">
        <w:rPr>
          <w:rFonts w:cs="Arial"/>
          <w:szCs w:val="24"/>
        </w:rPr>
        <w:t xml:space="preserve">das </w:t>
      </w:r>
      <w:r w:rsidR="00EB4971">
        <w:rPr>
          <w:rFonts w:cs="Arial"/>
          <w:szCs w:val="24"/>
        </w:rPr>
        <w:t xml:space="preserve">Schreiben </w:t>
      </w:r>
      <w:r>
        <w:rPr>
          <w:rFonts w:cs="Arial"/>
          <w:szCs w:val="24"/>
        </w:rPr>
        <w:t xml:space="preserve">des </w:t>
      </w:r>
      <w:hyperlink r:id="rId21" w:history="1">
        <w:r w:rsidRPr="005C5D1D">
          <w:rPr>
            <w:rStyle w:val="Hyperlink"/>
            <w:rFonts w:cs="Arial"/>
            <w:szCs w:val="24"/>
          </w:rPr>
          <w:t xml:space="preserve">UM </w:t>
        </w:r>
        <w:r w:rsidR="005C5D1D" w:rsidRPr="005C5D1D">
          <w:rPr>
            <w:rStyle w:val="Hyperlink"/>
            <w:rFonts w:cs="Arial"/>
            <w:szCs w:val="24"/>
          </w:rPr>
          <w:t xml:space="preserve">zur befristeten Waldumwandlungsgenehmigung als mögliche Verfahrenserleichterung </w:t>
        </w:r>
        <w:r w:rsidRPr="005C5D1D">
          <w:rPr>
            <w:rStyle w:val="Hyperlink"/>
            <w:rFonts w:cs="Arial"/>
            <w:szCs w:val="24"/>
          </w:rPr>
          <w:t>vom 17. Januar 2024</w:t>
        </w:r>
      </w:hyperlink>
      <w:r>
        <w:rPr>
          <w:rFonts w:cs="Arial"/>
          <w:szCs w:val="24"/>
        </w:rPr>
        <w:t xml:space="preserve"> </w:t>
      </w:r>
      <w:r w:rsidR="005C077B">
        <w:rPr>
          <w:rFonts w:cs="Arial"/>
          <w:szCs w:val="24"/>
        </w:rPr>
        <w:t xml:space="preserve">sowie auf die </w:t>
      </w:r>
      <w:hyperlink r:id="rId22" w:history="1">
        <w:r w:rsidR="005C077B" w:rsidRPr="005C077B">
          <w:rPr>
            <w:rStyle w:val="Hyperlink"/>
            <w:rFonts w:cs="Arial"/>
            <w:szCs w:val="24"/>
          </w:rPr>
          <w:t>FAQ befristete Waldumwandlung</w:t>
        </w:r>
      </w:hyperlink>
      <w:r w:rsidR="005C077B">
        <w:rPr>
          <w:rFonts w:cs="Arial"/>
          <w:szCs w:val="24"/>
        </w:rPr>
        <w:t xml:space="preserve"> </w:t>
      </w:r>
      <w:r>
        <w:rPr>
          <w:rFonts w:cs="Arial"/>
          <w:szCs w:val="24"/>
        </w:rPr>
        <w:t xml:space="preserve">wird verwiesen. </w:t>
      </w:r>
    </w:p>
    <w:p w14:paraId="0D1F4FFF" w14:textId="77777777" w:rsidR="00A91E51" w:rsidRDefault="00A91E51" w:rsidP="00A91E51">
      <w:pPr>
        <w:spacing w:line="360" w:lineRule="atLeast"/>
        <w:jc w:val="both"/>
      </w:pPr>
    </w:p>
    <w:p w14:paraId="175B9AA7" w14:textId="2CC8F8D2" w:rsidR="000715D7" w:rsidRDefault="000715D7" w:rsidP="000C26BF">
      <w:pPr>
        <w:pStyle w:val="UMberschrift2num-Arial-12pt"/>
      </w:pPr>
      <w:bookmarkStart w:id="4" w:name="Projektmanager"/>
      <w:r>
        <w:t xml:space="preserve">Beauftragung </w:t>
      </w:r>
      <w:r w:rsidR="000E714C">
        <w:t xml:space="preserve">eines </w:t>
      </w:r>
      <w:r>
        <w:t>Projektmanager</w:t>
      </w:r>
      <w:bookmarkEnd w:id="4"/>
      <w:r w:rsidR="000E714C">
        <w:t>s</w:t>
      </w:r>
    </w:p>
    <w:p w14:paraId="79FA2B19" w14:textId="567B097C" w:rsidR="00EB176C" w:rsidRDefault="00EB176C" w:rsidP="000B775C">
      <w:pPr>
        <w:spacing w:line="360" w:lineRule="atLeast"/>
      </w:pPr>
    </w:p>
    <w:p w14:paraId="3048C911" w14:textId="03E366CA" w:rsidR="000B775C" w:rsidRDefault="000B775C" w:rsidP="000B775C">
      <w:pPr>
        <w:spacing w:line="360" w:lineRule="atLeast"/>
      </w:pPr>
      <w:r w:rsidRPr="00CB21F8">
        <w:t xml:space="preserve">Genehmigungsverfahren für </w:t>
      </w:r>
      <w:r w:rsidR="00401945">
        <w:t>WEA</w:t>
      </w:r>
      <w:r w:rsidR="00401945" w:rsidRPr="00CB21F8">
        <w:t xml:space="preserve"> </w:t>
      </w:r>
      <w:r w:rsidRPr="00CB21F8">
        <w:t>gestalten sich zunehmend komplex</w:t>
      </w:r>
      <w:r w:rsidR="004857B4">
        <w:t>,</w:t>
      </w:r>
      <w:r w:rsidRPr="00CB21F8">
        <w:t xml:space="preserve"> </w:t>
      </w:r>
      <w:r w:rsidR="00712EFA">
        <w:t xml:space="preserve">wodurch </w:t>
      </w:r>
      <w:r w:rsidRPr="00CB21F8">
        <w:t>die Genehmigungsbehörden</w:t>
      </w:r>
      <w:r w:rsidR="00A6539C">
        <w:t xml:space="preserve"> zunehmend</w:t>
      </w:r>
      <w:r w:rsidRPr="00CB21F8">
        <w:t xml:space="preserve"> vor die Herausforderung</w:t>
      </w:r>
      <w:r w:rsidR="00712EFA">
        <w:t xml:space="preserve"> gestellt werden</w:t>
      </w:r>
      <w:r w:rsidRPr="00CB21F8">
        <w:t xml:space="preserve">, frist- </w:t>
      </w:r>
      <w:r w:rsidR="0016673F">
        <w:t xml:space="preserve">und sachgerecht zu entscheiden. </w:t>
      </w:r>
      <w:r w:rsidRPr="00CB21F8">
        <w:t>Die einzuhaltenden Fristen (u.</w:t>
      </w:r>
      <w:r w:rsidR="008B54DB">
        <w:t> </w:t>
      </w:r>
      <w:r w:rsidRPr="00CB21F8">
        <w:t xml:space="preserve">a. Prüfung auf Vollständigkeit der Antragsunterlagen) sind dabei auch im Zusammenhang </w:t>
      </w:r>
      <w:r w:rsidR="002A56A2">
        <w:t>mit</w:t>
      </w:r>
      <w:r w:rsidRPr="00CB21F8">
        <w:t xml:space="preserve"> häufig personell limitierten Ressourcen in den Genehmigungsbehörden zu sehen.</w:t>
      </w:r>
    </w:p>
    <w:p w14:paraId="54C1B0B8" w14:textId="155D8291" w:rsidR="000B775C" w:rsidRDefault="000715D7" w:rsidP="0016673F">
      <w:pPr>
        <w:spacing w:line="360" w:lineRule="atLeast"/>
        <w:jc w:val="both"/>
      </w:pPr>
      <w:r>
        <w:lastRenderedPageBreak/>
        <w:t xml:space="preserve">Sobald der </w:t>
      </w:r>
      <w:r w:rsidR="004857B4">
        <w:t xml:space="preserve">Vorhabenträger </w:t>
      </w:r>
      <w:r>
        <w:t xml:space="preserve">die Genehmigungsbehörde über ein Vorhaben unterrichtet, soll </w:t>
      </w:r>
      <w:r w:rsidRPr="00F95A10">
        <w:t xml:space="preserve">die Hinzuziehung eines Projektmanagers zur Verfahrensbeschleunigung </w:t>
      </w:r>
      <w:r w:rsidR="00A6539C">
        <w:t xml:space="preserve">miteinander abgestimmt </w:t>
      </w:r>
      <w:r>
        <w:t>werden</w:t>
      </w:r>
      <w:r w:rsidRPr="00F95A10">
        <w:t xml:space="preserve"> (§ 2 Abs. 2 </w:t>
      </w:r>
      <w:r w:rsidR="00042768">
        <w:t xml:space="preserve">S. 3 </w:t>
      </w:r>
      <w:r w:rsidRPr="00F95A10">
        <w:t>Nr. 5 der 9.</w:t>
      </w:r>
      <w:r>
        <w:t xml:space="preserve"> </w:t>
      </w:r>
      <w:r w:rsidRPr="00F95A10">
        <w:t xml:space="preserve">BImSchV). </w:t>
      </w:r>
      <w:r w:rsidR="000B775C">
        <w:t xml:space="preserve">Die </w:t>
      </w:r>
      <w:r w:rsidR="00A6539C">
        <w:t xml:space="preserve">Beauftragung </w:t>
      </w:r>
      <w:r w:rsidR="000B775C">
        <w:t>eines Projektmanagers</w:t>
      </w:r>
      <w:r w:rsidR="00752874">
        <w:t>, also eines verwaltungsexternen Dienstleisters,</w:t>
      </w:r>
      <w:r w:rsidR="000B775C">
        <w:t xml:space="preserve"> </w:t>
      </w:r>
      <w:r w:rsidR="00752874">
        <w:t xml:space="preserve">bietet </w:t>
      </w:r>
      <w:r w:rsidR="000B775C">
        <w:t>sich insbesondere bei der Durchführung eines förmlichen Verfahrens nach § 10 BImSchG an</w:t>
      </w:r>
      <w:r w:rsidR="004857B4">
        <w:t xml:space="preserve">, soweit die Verfahrensart </w:t>
      </w:r>
      <w:r w:rsidR="00A6539C">
        <w:t xml:space="preserve">zum Zeitpunkt der Unterrichtung über das Vorhaben </w:t>
      </w:r>
      <w:r w:rsidR="004857B4">
        <w:t>bereits absehbar ist</w:t>
      </w:r>
      <w:r w:rsidR="000B775C">
        <w:t>.</w:t>
      </w:r>
    </w:p>
    <w:p w14:paraId="25A56EAB" w14:textId="77777777" w:rsidR="000715D7" w:rsidRDefault="000715D7" w:rsidP="000715D7">
      <w:pPr>
        <w:spacing w:line="360" w:lineRule="atLeast"/>
        <w:jc w:val="both"/>
      </w:pPr>
    </w:p>
    <w:p w14:paraId="56935835" w14:textId="64871689" w:rsidR="000715D7" w:rsidRDefault="00803A54" w:rsidP="000715D7">
      <w:pPr>
        <w:spacing w:line="360" w:lineRule="atLeast"/>
        <w:jc w:val="both"/>
      </w:pPr>
      <w:r>
        <w:t>D</w:t>
      </w:r>
      <w:r w:rsidR="000715D7">
        <w:t>er Projektmanager</w:t>
      </w:r>
      <w:r w:rsidR="000E714C">
        <w:t xml:space="preserve"> kann</w:t>
      </w:r>
      <w:r>
        <w:t xml:space="preserve"> </w:t>
      </w:r>
      <w:r w:rsidR="000715D7">
        <w:t xml:space="preserve">für die Genehmigungsbehörde </w:t>
      </w:r>
      <w:r w:rsidR="000715D7" w:rsidRPr="005150EF">
        <w:t xml:space="preserve">die organisatorische Vorbereitung wie auch die Durchführung </w:t>
      </w:r>
      <w:r w:rsidR="000715D7">
        <w:t>einzelner</w:t>
      </w:r>
      <w:r w:rsidR="000715D7" w:rsidRPr="005150EF">
        <w:t xml:space="preserve"> Verfahrensschritte</w:t>
      </w:r>
      <w:r w:rsidR="000715D7">
        <w:t xml:space="preserve"> übernehmen</w:t>
      </w:r>
      <w:r>
        <w:t xml:space="preserve"> (§ 2b der 9. BImSchV)</w:t>
      </w:r>
      <w:r w:rsidR="000715D7">
        <w:t>. Dazu gehört insbesondere</w:t>
      </w:r>
      <w:r w:rsidR="000715D7" w:rsidRPr="005150EF">
        <w:t>, d</w:t>
      </w:r>
      <w:r w:rsidR="000715D7">
        <w:t>en entscheidungsrelevanten Sachverhalt für</w:t>
      </w:r>
      <w:r w:rsidR="000715D7" w:rsidRPr="005150EF">
        <w:t xml:space="preserve"> die </w:t>
      </w:r>
      <w:r w:rsidR="000715D7">
        <w:t>Genehmigungsbehörde zu erheben, ihn f</w:t>
      </w:r>
      <w:r w:rsidR="000715D7" w:rsidRPr="005150EF">
        <w:t xml:space="preserve">ür die abschließende Abwägung und Entscheidung </w:t>
      </w:r>
      <w:r w:rsidR="000715D7">
        <w:t>i</w:t>
      </w:r>
      <w:r w:rsidR="000715D7" w:rsidRPr="005150EF">
        <w:t xml:space="preserve">m Interesse der Verfahrensbeschleunigung </w:t>
      </w:r>
      <w:proofErr w:type="spellStart"/>
      <w:r w:rsidR="000715D7">
        <w:t>vo</w:t>
      </w:r>
      <w:r w:rsidR="000715D7" w:rsidRPr="005150EF">
        <w:t>r</w:t>
      </w:r>
      <w:r w:rsidR="000715D7">
        <w:t>zu</w:t>
      </w:r>
      <w:r w:rsidR="000715D7" w:rsidRPr="005150EF">
        <w:t>strukturier</w:t>
      </w:r>
      <w:r w:rsidR="000715D7">
        <w:t>en</w:t>
      </w:r>
      <w:proofErr w:type="spellEnd"/>
      <w:r w:rsidR="000715D7">
        <w:t xml:space="preserve"> und aufzuarbeiten</w:t>
      </w:r>
      <w:r w:rsidR="000715D7" w:rsidRPr="005150EF">
        <w:t xml:space="preserve">. </w:t>
      </w:r>
      <w:r w:rsidR="000715D7">
        <w:t xml:space="preserve">Dem </w:t>
      </w:r>
      <w:r w:rsidR="0016673F">
        <w:t xml:space="preserve">externen </w:t>
      </w:r>
      <w:r w:rsidR="000715D7">
        <w:t xml:space="preserve">Projektmanager können ferner Aufgaben im Zusammenhang mit der Vorbereitung des </w:t>
      </w:r>
      <w:proofErr w:type="spellStart"/>
      <w:r w:rsidR="000715D7">
        <w:t>Scoping</w:t>
      </w:r>
      <w:proofErr w:type="spellEnd"/>
      <w:r w:rsidR="000B7FE4">
        <w:t>-T</w:t>
      </w:r>
      <w:r w:rsidR="000715D7">
        <w:t>ermins/der Vorantragskonferenz sowie des Erörterungstermins übertragen werden.</w:t>
      </w:r>
      <w:r>
        <w:t xml:space="preserve"> Der Projektmanager wird als sog. Verwaltungshelfer beauftragt und hat keine Kompetenz für hoheitliche Entscheidungen. Diese werden auch im Fall der Beauftragung </w:t>
      </w:r>
      <w:r w:rsidR="000E714C">
        <w:t>eines</w:t>
      </w:r>
      <w:r>
        <w:t xml:space="preserve"> Projektmanagers stets durch die Verwaltungsbehörde getroffen (vgl. § 2b Abs. 2 der 9. BIm</w:t>
      </w:r>
      <w:r w:rsidR="00CE355A">
        <w:t>S</w:t>
      </w:r>
      <w:r>
        <w:t>chV).</w:t>
      </w:r>
    </w:p>
    <w:p w14:paraId="6DABCB08" w14:textId="77777777" w:rsidR="000715D7" w:rsidRDefault="000715D7" w:rsidP="000715D7">
      <w:pPr>
        <w:spacing w:line="360" w:lineRule="atLeast"/>
        <w:jc w:val="both"/>
      </w:pPr>
    </w:p>
    <w:p w14:paraId="23963025" w14:textId="01B4AAF8" w:rsidR="000715D7" w:rsidRDefault="0016673F" w:rsidP="008F36FC">
      <w:pPr>
        <w:pStyle w:val="BW1Standard"/>
      </w:pPr>
      <w:r>
        <w:t xml:space="preserve">Der Projektmanager soll den Planungs- und den Genehmigungsprozess möglichst frühzeitig unterstützen. </w:t>
      </w:r>
      <w:r w:rsidR="000715D7">
        <w:t xml:space="preserve">Eine </w:t>
      </w:r>
      <w:r w:rsidR="000715D7" w:rsidRPr="00FE7E6F">
        <w:t>klare Aufgabendefinition des Projektmanagers sowie eine gute Kommunikation zwischen allen Beteiligten (</w:t>
      </w:r>
      <w:r w:rsidR="004857B4" w:rsidRPr="00FE7E6F">
        <w:t>Vorhabenträger</w:t>
      </w:r>
      <w:r w:rsidR="000715D7">
        <w:t xml:space="preserve">, Projektmanager sowie Genehmigungsbehörde und weitere berührte Institutionen wie Fachbehörden, Gutachter, Bürgerinitiativen etc.) </w:t>
      </w:r>
      <w:r w:rsidR="00EF165F">
        <w:t xml:space="preserve">insbesondere </w:t>
      </w:r>
      <w:r w:rsidR="000715D7" w:rsidRPr="00F95A10">
        <w:t xml:space="preserve">zu </w:t>
      </w:r>
      <w:r w:rsidR="00EF165F" w:rsidRPr="00F95A10">
        <w:t>Beginn</w:t>
      </w:r>
      <w:r w:rsidR="00EF165F">
        <w:t xml:space="preserve"> und im gesamten Verlauf </w:t>
      </w:r>
      <w:r w:rsidR="000715D7" w:rsidRPr="00F95A10">
        <w:t xml:space="preserve">des Verfahrens </w:t>
      </w:r>
      <w:r w:rsidR="00F64802">
        <w:t>sind</w:t>
      </w:r>
      <w:r w:rsidR="000715D7">
        <w:t xml:space="preserve"> hierbei </w:t>
      </w:r>
      <w:r w:rsidR="000715D7" w:rsidRPr="00F95A10">
        <w:t>elementar, um Doppelarbeit zu vermeiden</w:t>
      </w:r>
      <w:r w:rsidR="000715D7">
        <w:t xml:space="preserve"> und Grundvoraussetzung für eine erfolgreiche Zusammenarbeit.</w:t>
      </w:r>
    </w:p>
    <w:p w14:paraId="53C1BFED" w14:textId="77777777" w:rsidR="000715D7" w:rsidRDefault="000715D7" w:rsidP="000715D7">
      <w:pPr>
        <w:spacing w:line="360" w:lineRule="atLeast"/>
        <w:jc w:val="both"/>
      </w:pPr>
    </w:p>
    <w:p w14:paraId="55BE9D37" w14:textId="13097592" w:rsidR="005B12C2" w:rsidRDefault="000715D7" w:rsidP="000E714C">
      <w:pPr>
        <w:spacing w:line="360" w:lineRule="atLeast"/>
        <w:jc w:val="both"/>
        <w:rPr>
          <w:rFonts w:cs="Arial"/>
          <w:szCs w:val="24"/>
        </w:rPr>
      </w:pPr>
      <w:r w:rsidRPr="00F95A10">
        <w:rPr>
          <w:rFonts w:cs="Arial"/>
          <w:szCs w:val="24"/>
        </w:rPr>
        <w:t xml:space="preserve">Zu beachten ist, dass der Projektmanager nicht in die Organisation der Genehmigungsbehörde eingebunden ist. </w:t>
      </w:r>
      <w:r>
        <w:rPr>
          <w:rFonts w:cs="Arial"/>
          <w:szCs w:val="24"/>
        </w:rPr>
        <w:t>Die Genehmigungsbehörde stellt</w:t>
      </w:r>
      <w:r w:rsidRPr="00F95A10">
        <w:rPr>
          <w:rFonts w:cs="Arial"/>
          <w:szCs w:val="24"/>
        </w:rPr>
        <w:t xml:space="preserve"> </w:t>
      </w:r>
      <w:r w:rsidR="0041745B">
        <w:rPr>
          <w:rFonts w:cs="Arial"/>
          <w:szCs w:val="24"/>
        </w:rPr>
        <w:t xml:space="preserve">ihrerseits </w:t>
      </w:r>
      <w:r w:rsidRPr="00F95A10">
        <w:rPr>
          <w:rFonts w:cs="Arial"/>
          <w:szCs w:val="24"/>
        </w:rPr>
        <w:t xml:space="preserve">kurze Abstimmungs- und Entscheidungswege sicher und trägt maßgeblich zu einer effizienten und effektiven Zusammenarbeit der Projektmitglieder bei. </w:t>
      </w:r>
    </w:p>
    <w:p w14:paraId="0E867545" w14:textId="77777777" w:rsidR="006B63D3" w:rsidRDefault="006B63D3" w:rsidP="000E714C">
      <w:pPr>
        <w:spacing w:line="360" w:lineRule="atLeast"/>
        <w:jc w:val="both"/>
        <w:rPr>
          <w:rFonts w:cs="Arial"/>
          <w:szCs w:val="24"/>
        </w:rPr>
      </w:pPr>
    </w:p>
    <w:p w14:paraId="47F604EB" w14:textId="77777777" w:rsidR="001C3373" w:rsidRDefault="001C3373" w:rsidP="000E714C">
      <w:pPr>
        <w:spacing w:line="360" w:lineRule="atLeast"/>
        <w:jc w:val="both"/>
        <w:rPr>
          <w:rFonts w:cs="Arial"/>
          <w:szCs w:val="24"/>
        </w:rPr>
      </w:pPr>
    </w:p>
    <w:p w14:paraId="459BF8AA" w14:textId="55C818D5" w:rsidR="001311D3" w:rsidRPr="001311D3" w:rsidRDefault="001C3373" w:rsidP="000C26BF">
      <w:pPr>
        <w:pStyle w:val="UMberschrift2num-Arial-12pt"/>
      </w:pPr>
      <w:r>
        <w:lastRenderedPageBreak/>
        <w:t>Frühe Öffentl</w:t>
      </w:r>
      <w:r w:rsidR="00C52A75">
        <w:t>i</w:t>
      </w:r>
      <w:r>
        <w:t>chkeitsbeteiligung</w:t>
      </w:r>
    </w:p>
    <w:p w14:paraId="7F560612" w14:textId="77777777" w:rsidR="001311D3" w:rsidRDefault="001311D3" w:rsidP="000E714C">
      <w:pPr>
        <w:spacing w:line="360" w:lineRule="atLeast"/>
        <w:jc w:val="both"/>
        <w:rPr>
          <w:rFonts w:cs="Arial"/>
          <w:szCs w:val="24"/>
        </w:rPr>
      </w:pPr>
    </w:p>
    <w:p w14:paraId="1507489C" w14:textId="56C9307D" w:rsidR="001C3373" w:rsidRPr="000E714C" w:rsidRDefault="001311D3" w:rsidP="000E714C">
      <w:pPr>
        <w:spacing w:line="360" w:lineRule="atLeast"/>
        <w:jc w:val="both"/>
        <w:rPr>
          <w:rFonts w:cs="Arial"/>
          <w:szCs w:val="24"/>
        </w:rPr>
      </w:pPr>
      <w:r>
        <w:rPr>
          <w:rFonts w:cs="Arial"/>
          <w:szCs w:val="24"/>
        </w:rPr>
        <w:t xml:space="preserve">Um </w:t>
      </w:r>
      <w:r w:rsidRPr="00B311EE">
        <w:t xml:space="preserve">Zeitverzögerungen durch Missverständnisse über das Projekt in der Öffentlichkeit zu vermeiden, soll </w:t>
      </w:r>
      <w:r>
        <w:t xml:space="preserve">der Vorhabenträger </w:t>
      </w:r>
      <w:r w:rsidRPr="00B311EE">
        <w:t xml:space="preserve">die Öffentlichkeit von Beginn an </w:t>
      </w:r>
      <w:r>
        <w:t xml:space="preserve">und fortlaufend </w:t>
      </w:r>
      <w:r w:rsidRPr="00B311EE">
        <w:t xml:space="preserve">in </w:t>
      </w:r>
      <w:r>
        <w:t>geeignetem</w:t>
      </w:r>
      <w:r w:rsidRPr="00B311EE">
        <w:t xml:space="preserve"> Maße </w:t>
      </w:r>
      <w:r>
        <w:t>informieren</w:t>
      </w:r>
      <w:r w:rsidRPr="00B311EE">
        <w:t>.</w:t>
      </w:r>
    </w:p>
    <w:p w14:paraId="0CA235E1" w14:textId="77777777" w:rsidR="00B311EE" w:rsidRPr="00B311EE" w:rsidRDefault="00B311EE" w:rsidP="00B311EE">
      <w:pPr>
        <w:pStyle w:val="BW1Standard"/>
      </w:pPr>
    </w:p>
    <w:p w14:paraId="45F9A59F" w14:textId="5C83AB01" w:rsidR="0016672A" w:rsidRPr="0016672A" w:rsidRDefault="0016672A" w:rsidP="000C26BF">
      <w:pPr>
        <w:pStyle w:val="UMberschrift1numArial-fett-12pt"/>
      </w:pPr>
      <w:r w:rsidRPr="0016672A">
        <w:t>Vorprüfung/Vorantragskonferenz</w:t>
      </w:r>
      <w:r w:rsidR="00BE30BA">
        <w:t xml:space="preserve"> (§ 2 Abs. 2 der 9. BImSchV)</w:t>
      </w:r>
    </w:p>
    <w:p w14:paraId="42D5F8AE" w14:textId="486C07EF" w:rsidR="00D22C71" w:rsidRPr="00D22C71" w:rsidRDefault="00D22C71" w:rsidP="00D22C71">
      <w:pPr>
        <w:overflowPunct/>
        <w:autoSpaceDE/>
        <w:autoSpaceDN/>
        <w:adjustRightInd/>
        <w:spacing w:line="360" w:lineRule="atLeast"/>
        <w:jc w:val="both"/>
        <w:textAlignment w:val="auto"/>
      </w:pPr>
      <w:r w:rsidRPr="00D22C71">
        <w:t>Mit einer vom Vorhabenträger gefertigten, aussagekräftigen Projektskizze mit Lageplan</w:t>
      </w:r>
      <w:r w:rsidR="003D17CF">
        <w:t xml:space="preserve"> (möglichst mit Koordinaten)</w:t>
      </w:r>
      <w:r w:rsidRPr="00D22C71">
        <w:t xml:space="preserve"> und Projektbeschreibung sowie der Auflistung des vom </w:t>
      </w:r>
      <w:r w:rsidR="00C00712">
        <w:t>Vorhabenträger</w:t>
      </w:r>
      <w:r w:rsidR="00C00712" w:rsidRPr="00D22C71">
        <w:t xml:space="preserve"> </w:t>
      </w:r>
      <w:r w:rsidRPr="00D22C71">
        <w:t xml:space="preserve">vorgesehenen und zum Teil auch bereits zwischen zuständigen </w:t>
      </w:r>
      <w:proofErr w:type="spellStart"/>
      <w:r w:rsidR="000B7FE4">
        <w:t>TöB</w:t>
      </w:r>
      <w:proofErr w:type="spellEnd"/>
      <w:r w:rsidRPr="00D22C71">
        <w:t xml:space="preserve">, </w:t>
      </w:r>
      <w:r w:rsidR="00C00712">
        <w:t>Vorhabenträger</w:t>
      </w:r>
      <w:r w:rsidR="00C00712" w:rsidRPr="00D22C71">
        <w:t xml:space="preserve"> </w:t>
      </w:r>
      <w:r w:rsidRPr="00D22C71">
        <w:t xml:space="preserve">und </w:t>
      </w:r>
      <w:r w:rsidR="00C00712">
        <w:t>Genehmigungsbehörde</w:t>
      </w:r>
      <w:r w:rsidRPr="00D22C71">
        <w:t xml:space="preserve"> vorab ergänzten Untersuchungsrahmens, lä</w:t>
      </w:r>
      <w:r w:rsidR="00501629">
        <w:t xml:space="preserve">dt die </w:t>
      </w:r>
      <w:r w:rsidR="00C00712">
        <w:t xml:space="preserve">Genehmigungsbehörde </w:t>
      </w:r>
      <w:r w:rsidR="00501629">
        <w:t xml:space="preserve">den </w:t>
      </w:r>
      <w:r w:rsidR="00C00712">
        <w:t xml:space="preserve">Vorhabenträger </w:t>
      </w:r>
      <w:r w:rsidR="00501629">
        <w:t xml:space="preserve">sowie alle </w:t>
      </w:r>
      <w:r w:rsidR="00C00712">
        <w:t>Träger öffentlicher Belange</w:t>
      </w:r>
      <w:r w:rsidR="00C00712" w:rsidRPr="00D22C71">
        <w:t xml:space="preserve"> </w:t>
      </w:r>
      <w:r w:rsidRPr="00D22C71">
        <w:t xml:space="preserve">zur </w:t>
      </w:r>
      <w:r w:rsidR="00C00712">
        <w:t>Vorantragskonferenz</w:t>
      </w:r>
      <w:r w:rsidR="00DD7376">
        <w:t xml:space="preserve">/zum </w:t>
      </w:r>
      <w:proofErr w:type="spellStart"/>
      <w:r w:rsidR="00DD7376">
        <w:t>Scopin</w:t>
      </w:r>
      <w:r w:rsidR="004D63A0">
        <w:t>g</w:t>
      </w:r>
      <w:proofErr w:type="spellEnd"/>
      <w:r w:rsidR="00DD7376">
        <w:t>-Termin</w:t>
      </w:r>
      <w:r w:rsidR="00C00712" w:rsidRPr="00D22C71">
        <w:t xml:space="preserve"> </w:t>
      </w:r>
      <w:r w:rsidRPr="00D22C71">
        <w:t xml:space="preserve">ein. Falls es aus Vorgesprächen bereits besondere Punkte/Ideen und Anregungen gibt, informiert die </w:t>
      </w:r>
      <w:r w:rsidR="00496675">
        <w:rPr>
          <w:color w:val="000000"/>
          <w:szCs w:val="22"/>
          <w:lang w:eastAsia="en-US"/>
        </w:rPr>
        <w:t>Genehmigungsbehörde</w:t>
      </w:r>
      <w:r w:rsidRPr="00D22C71">
        <w:t xml:space="preserve"> hierüber ebenfalls in der Einladung und setzt diese auf die Tagesordnung.</w:t>
      </w:r>
    </w:p>
    <w:p w14:paraId="25B1FED5"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388A0021" w14:textId="386CF407"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Die Fe</w:t>
      </w:r>
      <w:r w:rsidR="00501629">
        <w:rPr>
          <w:color w:val="000000"/>
          <w:szCs w:val="22"/>
          <w:lang w:eastAsia="en-US"/>
        </w:rPr>
        <w:t xml:space="preserve">stlegung der zu beteiligenden </w:t>
      </w:r>
      <w:proofErr w:type="spellStart"/>
      <w:r w:rsidR="00501629">
        <w:rPr>
          <w:color w:val="000000"/>
          <w:szCs w:val="22"/>
          <w:lang w:eastAsia="en-US"/>
        </w:rPr>
        <w:t>Tö</w:t>
      </w:r>
      <w:r w:rsidRPr="00D22C71">
        <w:rPr>
          <w:color w:val="000000"/>
          <w:szCs w:val="22"/>
          <w:lang w:eastAsia="en-US"/>
        </w:rPr>
        <w:t>B</w:t>
      </w:r>
      <w:proofErr w:type="spellEnd"/>
      <w:r w:rsidRPr="00D22C71">
        <w:rPr>
          <w:color w:val="000000"/>
          <w:szCs w:val="22"/>
          <w:lang w:eastAsia="en-US"/>
        </w:rPr>
        <w:t xml:space="preserve"> erfolgt auf der aktuellen Grundlage der </w:t>
      </w:r>
      <w:hyperlink r:id="rId23" w:history="1">
        <w:r w:rsidRPr="003B2078">
          <w:rPr>
            <w:rStyle w:val="Hyperlink"/>
            <w:szCs w:val="22"/>
            <w:lang w:eastAsia="en-US"/>
          </w:rPr>
          <w:t>UM-Vorschlagsliste</w:t>
        </w:r>
      </w:hyperlink>
      <w:r w:rsidRPr="00D22C71">
        <w:rPr>
          <w:color w:val="000000"/>
          <w:szCs w:val="22"/>
          <w:lang w:eastAsia="en-US"/>
        </w:rPr>
        <w:t xml:space="preserve"> und wird dem aktuellen Einzelfall entsprechend angepasst/ergänzt.</w:t>
      </w:r>
      <w:r w:rsidR="0063164B">
        <w:rPr>
          <w:color w:val="000000"/>
          <w:szCs w:val="22"/>
          <w:lang w:eastAsia="en-US"/>
        </w:rPr>
        <w:t xml:space="preserve"> Ebenfalls eingeladen werden sollte die StEWK des betroffenen Regierungsbezirks. Diese wirkt - sofern erforderlich - auf die möglichst vollständige Teilnahme der </w:t>
      </w:r>
      <w:proofErr w:type="spellStart"/>
      <w:r w:rsidR="0063164B">
        <w:rPr>
          <w:color w:val="000000"/>
          <w:szCs w:val="22"/>
          <w:lang w:eastAsia="en-US"/>
        </w:rPr>
        <w:t>TöB</w:t>
      </w:r>
      <w:proofErr w:type="spellEnd"/>
      <w:r w:rsidR="0063164B">
        <w:rPr>
          <w:color w:val="000000"/>
          <w:szCs w:val="22"/>
          <w:lang w:eastAsia="en-US"/>
        </w:rPr>
        <w:t xml:space="preserve"> hin.</w:t>
      </w:r>
    </w:p>
    <w:p w14:paraId="2133C82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5A927C06" w14:textId="3FBC9CBC"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Zwischen Einladung und Termin der </w:t>
      </w:r>
      <w:r w:rsidR="00496675" w:rsidRPr="00496675">
        <w:rPr>
          <w:color w:val="000000"/>
          <w:szCs w:val="22"/>
          <w:lang w:eastAsia="en-US"/>
        </w:rPr>
        <w:t>Vorantragskonferenz</w:t>
      </w:r>
      <w:r w:rsidRPr="00D22C71">
        <w:rPr>
          <w:color w:val="000000"/>
          <w:szCs w:val="22"/>
          <w:lang w:eastAsia="en-US"/>
        </w:rPr>
        <w:t xml:space="preserve"> sollen </w:t>
      </w:r>
      <w:r w:rsidRPr="00D22C71">
        <w:rPr>
          <w:color w:val="000000" w:themeColor="text1"/>
          <w:szCs w:val="22"/>
          <w:lang w:eastAsia="en-US"/>
        </w:rPr>
        <w:t xml:space="preserve">3-4 Wochen </w:t>
      </w:r>
      <w:r w:rsidRPr="00D22C71">
        <w:rPr>
          <w:color w:val="000000"/>
          <w:szCs w:val="22"/>
          <w:lang w:eastAsia="en-US"/>
        </w:rPr>
        <w:t xml:space="preserve">liegen, </w:t>
      </w:r>
      <w:r w:rsidR="000B7FE4">
        <w:rPr>
          <w:color w:val="000000"/>
          <w:szCs w:val="22"/>
          <w:lang w:eastAsia="en-US"/>
        </w:rPr>
        <w:t>um</w:t>
      </w:r>
      <w:r w:rsidRPr="00D22C71">
        <w:rPr>
          <w:color w:val="000000"/>
          <w:szCs w:val="22"/>
          <w:lang w:eastAsia="en-US"/>
        </w:rPr>
        <w:t xml:space="preserve"> allen </w:t>
      </w:r>
      <w:r w:rsidR="004D7CD9">
        <w:rPr>
          <w:color w:val="000000"/>
          <w:szCs w:val="22"/>
          <w:lang w:eastAsia="en-US"/>
        </w:rPr>
        <w:t>Eingeladenen</w:t>
      </w:r>
      <w:r w:rsidR="004D7CD9" w:rsidRPr="00D22C71">
        <w:rPr>
          <w:color w:val="000000"/>
          <w:szCs w:val="22"/>
          <w:lang w:eastAsia="en-US"/>
        </w:rPr>
        <w:t xml:space="preserve"> </w:t>
      </w:r>
      <w:r w:rsidR="000B7FE4">
        <w:rPr>
          <w:color w:val="000000"/>
          <w:szCs w:val="22"/>
          <w:lang w:eastAsia="en-US"/>
        </w:rPr>
        <w:t>zu er</w:t>
      </w:r>
      <w:r w:rsidRPr="00D22C71">
        <w:rPr>
          <w:color w:val="000000"/>
          <w:szCs w:val="22"/>
          <w:lang w:eastAsia="en-US"/>
        </w:rPr>
        <w:t>möglich</w:t>
      </w:r>
      <w:r w:rsidR="000B7FE4">
        <w:rPr>
          <w:color w:val="000000"/>
          <w:szCs w:val="22"/>
          <w:lang w:eastAsia="en-US"/>
        </w:rPr>
        <w:t>en</w:t>
      </w:r>
      <w:r w:rsidR="009F1E75">
        <w:rPr>
          <w:color w:val="000000"/>
          <w:szCs w:val="22"/>
          <w:lang w:eastAsia="en-US"/>
        </w:rPr>
        <w:t>:</w:t>
      </w:r>
    </w:p>
    <w:p w14:paraId="40ACD5AF" w14:textId="77777777" w:rsidR="00D22C71" w:rsidRPr="003019D3" w:rsidRDefault="00D22C71"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sich gut vorzubereiten</w:t>
      </w:r>
      <w:r w:rsidR="004058C2">
        <w:rPr>
          <w:color w:val="000000"/>
          <w:szCs w:val="22"/>
          <w:lang w:eastAsia="en-US"/>
        </w:rPr>
        <w:t>,</w:t>
      </w:r>
    </w:p>
    <w:p w14:paraId="418E7CCE" w14:textId="7323D244" w:rsidR="00D22C71" w:rsidRPr="003019D3" w:rsidRDefault="009F1E75"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d</w:t>
      </w:r>
      <w:r w:rsidR="00D22C71" w:rsidRPr="003019D3">
        <w:rPr>
          <w:color w:val="000000"/>
        </w:rPr>
        <w:t>afür zu sorgen, dass im Verhinderungsfall eine gut vorbereitete Vertretung ein</w:t>
      </w:r>
      <w:r w:rsidRPr="003019D3">
        <w:rPr>
          <w:color w:val="000000"/>
        </w:rPr>
        <w:t>springen kann</w:t>
      </w:r>
      <w:r w:rsidR="004D7CD9">
        <w:rPr>
          <w:color w:val="000000"/>
          <w:szCs w:val="22"/>
          <w:lang w:eastAsia="en-US"/>
        </w:rPr>
        <w:t xml:space="preserve"> und</w:t>
      </w:r>
    </w:p>
    <w:p w14:paraId="268489DB" w14:textId="661589C4" w:rsidR="00D22C71" w:rsidRPr="003019D3" w:rsidRDefault="009F1E75" w:rsidP="00B311EE">
      <w:pPr>
        <w:pStyle w:val="Listenabsatz"/>
        <w:numPr>
          <w:ilvl w:val="0"/>
          <w:numId w:val="33"/>
        </w:numPr>
        <w:overflowPunct/>
        <w:autoSpaceDE/>
        <w:autoSpaceDN/>
        <w:adjustRightInd/>
        <w:spacing w:line="360" w:lineRule="atLeast"/>
        <w:jc w:val="both"/>
        <w:textAlignment w:val="auto"/>
        <w:rPr>
          <w:color w:val="000000"/>
        </w:rPr>
      </w:pPr>
      <w:r w:rsidRPr="003019D3">
        <w:rPr>
          <w:color w:val="000000"/>
        </w:rPr>
        <w:t>g</w:t>
      </w:r>
      <w:r w:rsidR="00D22C71" w:rsidRPr="003019D3">
        <w:rPr>
          <w:color w:val="000000"/>
        </w:rPr>
        <w:t xml:space="preserve">gf. bei der </w:t>
      </w:r>
      <w:r w:rsidR="00496675" w:rsidRPr="003019D3">
        <w:rPr>
          <w:color w:val="000000"/>
        </w:rPr>
        <w:t>Genehmigungsbehörde</w:t>
      </w:r>
      <w:r w:rsidR="00D22C71" w:rsidRPr="003019D3">
        <w:rPr>
          <w:color w:val="000000"/>
        </w:rPr>
        <w:t xml:space="preserve"> nachzuhaken, ob es im Vorfel</w:t>
      </w:r>
      <w:r w:rsidR="005A623F" w:rsidRPr="003019D3">
        <w:rPr>
          <w:color w:val="000000"/>
        </w:rPr>
        <w:t xml:space="preserve">d zu bestimmten Punkten einer </w:t>
      </w:r>
      <w:r w:rsidR="00D22C71" w:rsidRPr="003019D3">
        <w:rPr>
          <w:color w:val="000000"/>
        </w:rPr>
        <w:t>speziellen Vorbereitung bedarf.</w:t>
      </w:r>
    </w:p>
    <w:p w14:paraId="45A96861"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1BFDC036" w14:textId="07F3AB70" w:rsidR="00FB0C2E" w:rsidRPr="000161EB" w:rsidRDefault="00FB0C2E" w:rsidP="00FB0C2E">
      <w:pPr>
        <w:pStyle w:val="BW1Standard"/>
      </w:pPr>
      <w:r>
        <w:t xml:space="preserve">Um die größtmögliche Beteiligung der Träger öffentlicher Belange bei der Vorantragskonferenz zu gewährleisten, ist diese soweit möglich und sinnvoll als Videokonferenz oder als Hybridveranstaltung durchzuführen. Sofern bei einer Genehmigungsbehörde mehrere Vorantragskonferenzen anstehen, kann es zielführend sein, die Veranstaltungen nacheinander am selben Tag zu terminieren und so den zeitlichen Aufwand </w:t>
      </w:r>
      <w:r>
        <w:lastRenderedPageBreak/>
        <w:t xml:space="preserve">insbesondere der Träger öffentlicher Belange, die in Präsenz teilnehmen wollen und eine weite Anreise haben, zu minimieren. </w:t>
      </w:r>
    </w:p>
    <w:p w14:paraId="20C390D6" w14:textId="77777777" w:rsidR="00C07F11" w:rsidRPr="00D22C71" w:rsidRDefault="00C07F11" w:rsidP="00D22C71">
      <w:pPr>
        <w:overflowPunct/>
        <w:autoSpaceDE/>
        <w:autoSpaceDN/>
        <w:adjustRightInd/>
        <w:spacing w:line="360" w:lineRule="atLeast"/>
        <w:jc w:val="both"/>
        <w:textAlignment w:val="auto"/>
        <w:rPr>
          <w:color w:val="000000"/>
          <w:szCs w:val="22"/>
          <w:lang w:eastAsia="en-US"/>
        </w:rPr>
      </w:pPr>
    </w:p>
    <w:p w14:paraId="5259F472" w14:textId="7BC74A06"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In der </w:t>
      </w:r>
      <w:r w:rsidR="00496675" w:rsidRPr="00496675">
        <w:rPr>
          <w:color w:val="000000"/>
          <w:szCs w:val="22"/>
          <w:lang w:eastAsia="en-US"/>
        </w:rPr>
        <w:t>Vorantragskonferenz</w:t>
      </w:r>
      <w:r w:rsidRPr="00D22C71">
        <w:rPr>
          <w:color w:val="000000"/>
          <w:szCs w:val="22"/>
          <w:lang w:eastAsia="en-US"/>
        </w:rPr>
        <w:t xml:space="preserve"> gibt die </w:t>
      </w:r>
      <w:r w:rsidR="00496675">
        <w:rPr>
          <w:color w:val="000000"/>
          <w:szCs w:val="22"/>
          <w:lang w:eastAsia="en-US"/>
        </w:rPr>
        <w:t>Genehmigungsbehörde</w:t>
      </w:r>
      <w:r w:rsidRPr="00D22C71">
        <w:rPr>
          <w:color w:val="000000"/>
          <w:szCs w:val="22"/>
          <w:lang w:eastAsia="en-US"/>
        </w:rPr>
        <w:t xml:space="preserve"> eine Einführung sowie Informationen aus Vorgesprächen zum geplanten Verfahren. Danach stellen die Teilnehmenden sich und ihr Tätigkeitsfeld kurz vor und der </w:t>
      </w:r>
      <w:r w:rsidR="00496675">
        <w:rPr>
          <w:color w:val="000000"/>
          <w:szCs w:val="22"/>
          <w:lang w:eastAsia="en-US"/>
        </w:rPr>
        <w:t>Vorhabenträger</w:t>
      </w:r>
      <w:r w:rsidRPr="00D22C71">
        <w:rPr>
          <w:color w:val="000000"/>
          <w:szCs w:val="22"/>
          <w:lang w:eastAsia="en-US"/>
        </w:rPr>
        <w:t xml:space="preserve"> erläutert das Vorhaben. Anschließend wird gemeinsam </w:t>
      </w:r>
      <w:r w:rsidR="00BE30BA">
        <w:rPr>
          <w:color w:val="000000"/>
          <w:szCs w:val="22"/>
          <w:lang w:eastAsia="en-US"/>
        </w:rPr>
        <w:t xml:space="preserve">insbesondere </w:t>
      </w:r>
      <w:r w:rsidRPr="00D22C71">
        <w:rPr>
          <w:color w:val="000000"/>
          <w:szCs w:val="22"/>
          <w:lang w:eastAsia="en-US"/>
        </w:rPr>
        <w:t>festgelegt</w:t>
      </w:r>
      <w:r w:rsidR="00BE30BA">
        <w:rPr>
          <w:color w:val="000000"/>
          <w:szCs w:val="22"/>
          <w:lang w:eastAsia="en-US"/>
        </w:rPr>
        <w:t>, welche Antragsunterlagen vorgelegt werden müssen und welche Behörden voraussichtlich im Verfahren zu beteiligen sind (§ 2 Abs. 2 der 9. BImSchV).</w:t>
      </w:r>
      <w:r w:rsidR="004058C2" w:rsidRPr="00D22C71">
        <w:rPr>
          <w:color w:val="000000"/>
          <w:szCs w:val="22"/>
          <w:lang w:eastAsia="en-US"/>
        </w:rPr>
        <w:t xml:space="preserve"> </w:t>
      </w:r>
      <w:r w:rsidR="00BE30BA">
        <w:rPr>
          <w:color w:val="000000"/>
          <w:szCs w:val="22"/>
          <w:lang w:eastAsia="en-US"/>
        </w:rPr>
        <w:t>Dies umfasst regelmäßig folgende Fachbereiche:</w:t>
      </w:r>
    </w:p>
    <w:p w14:paraId="600391AE"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Baurecht</w:t>
      </w:r>
      <w:r w:rsidR="004058C2">
        <w:rPr>
          <w:color w:val="000000"/>
          <w:szCs w:val="22"/>
          <w:lang w:eastAsia="en-US"/>
        </w:rPr>
        <w:t>,</w:t>
      </w:r>
    </w:p>
    <w:p w14:paraId="03F89901"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Brandschutz</w:t>
      </w:r>
      <w:r w:rsidR="004058C2">
        <w:rPr>
          <w:color w:val="000000"/>
          <w:szCs w:val="22"/>
          <w:lang w:eastAsia="en-US"/>
        </w:rPr>
        <w:t>,</w:t>
      </w:r>
    </w:p>
    <w:p w14:paraId="73127834"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Wasser- und Bodenschutz</w:t>
      </w:r>
      <w:r w:rsidR="004058C2">
        <w:rPr>
          <w:color w:val="000000"/>
          <w:szCs w:val="22"/>
          <w:lang w:eastAsia="en-US"/>
        </w:rPr>
        <w:t>,</w:t>
      </w:r>
    </w:p>
    <w:p w14:paraId="269A4F9D"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Immissionsschutz</w:t>
      </w:r>
      <w:r w:rsidR="004058C2">
        <w:rPr>
          <w:color w:val="000000"/>
          <w:szCs w:val="22"/>
          <w:lang w:eastAsia="en-US"/>
        </w:rPr>
        <w:t>,</w:t>
      </w:r>
    </w:p>
    <w:p w14:paraId="08ED0318"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Landwirtschaft</w:t>
      </w:r>
      <w:r w:rsidR="004058C2">
        <w:rPr>
          <w:color w:val="000000"/>
          <w:szCs w:val="22"/>
          <w:lang w:eastAsia="en-US"/>
        </w:rPr>
        <w:t>,</w:t>
      </w:r>
    </w:p>
    <w:p w14:paraId="079C6705"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Straßen- und Wegebau</w:t>
      </w:r>
      <w:r w:rsidR="004058C2">
        <w:rPr>
          <w:color w:val="000000"/>
          <w:szCs w:val="22"/>
          <w:lang w:eastAsia="en-US"/>
        </w:rPr>
        <w:t>,</w:t>
      </w:r>
    </w:p>
    <w:p w14:paraId="1628E03E" w14:textId="77777777" w:rsidR="00D22C71" w:rsidRPr="003019D3"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Forst</w:t>
      </w:r>
      <w:r w:rsidR="004058C2">
        <w:rPr>
          <w:color w:val="000000"/>
          <w:szCs w:val="22"/>
          <w:lang w:eastAsia="en-US"/>
        </w:rPr>
        <w:t>,</w:t>
      </w:r>
    </w:p>
    <w:p w14:paraId="392F718E" w14:textId="4E95F17C" w:rsidR="00D22C71" w:rsidRDefault="00D22C71" w:rsidP="00B311EE">
      <w:pPr>
        <w:pStyle w:val="Listenabsatz"/>
        <w:numPr>
          <w:ilvl w:val="0"/>
          <w:numId w:val="34"/>
        </w:numPr>
        <w:overflowPunct/>
        <w:autoSpaceDE/>
        <w:autoSpaceDN/>
        <w:adjustRightInd/>
        <w:spacing w:line="360" w:lineRule="atLeast"/>
        <w:jc w:val="both"/>
        <w:textAlignment w:val="auto"/>
        <w:rPr>
          <w:color w:val="000000"/>
        </w:rPr>
      </w:pPr>
      <w:r w:rsidRPr="003019D3">
        <w:rPr>
          <w:color w:val="000000"/>
        </w:rPr>
        <w:t>Natur-/Landschafts-/Artenschutz</w:t>
      </w:r>
      <w:r w:rsidR="004D7CD9">
        <w:rPr>
          <w:color w:val="000000"/>
        </w:rPr>
        <w:t>,</w:t>
      </w:r>
    </w:p>
    <w:p w14:paraId="5DC98C08" w14:textId="793E4A3D" w:rsidR="005A7A2F" w:rsidRDefault="005A7A2F" w:rsidP="00B311EE">
      <w:pPr>
        <w:pStyle w:val="Listenabsatz"/>
        <w:numPr>
          <w:ilvl w:val="0"/>
          <w:numId w:val="34"/>
        </w:numPr>
        <w:overflowPunct/>
        <w:autoSpaceDE/>
        <w:autoSpaceDN/>
        <w:adjustRightInd/>
        <w:spacing w:line="360" w:lineRule="atLeast"/>
        <w:jc w:val="both"/>
        <w:textAlignment w:val="auto"/>
        <w:rPr>
          <w:color w:val="000000"/>
        </w:rPr>
      </w:pPr>
      <w:r>
        <w:rPr>
          <w:color w:val="000000"/>
        </w:rPr>
        <w:t>Denkmalschutz</w:t>
      </w:r>
      <w:r w:rsidR="004D7CD9">
        <w:rPr>
          <w:color w:val="000000"/>
        </w:rPr>
        <w:t>,</w:t>
      </w:r>
    </w:p>
    <w:p w14:paraId="7F9FCF62" w14:textId="4986E5EB" w:rsidR="005A7A2F" w:rsidRPr="003019D3" w:rsidRDefault="005A7A2F" w:rsidP="00B311EE">
      <w:pPr>
        <w:pStyle w:val="Listenabsatz"/>
        <w:numPr>
          <w:ilvl w:val="0"/>
          <w:numId w:val="34"/>
        </w:numPr>
        <w:overflowPunct/>
        <w:autoSpaceDE/>
        <w:autoSpaceDN/>
        <w:adjustRightInd/>
        <w:spacing w:line="360" w:lineRule="atLeast"/>
        <w:jc w:val="both"/>
        <w:textAlignment w:val="auto"/>
        <w:rPr>
          <w:color w:val="000000"/>
        </w:rPr>
      </w:pPr>
      <w:r>
        <w:rPr>
          <w:color w:val="000000"/>
        </w:rPr>
        <w:t>Luftverkehr</w:t>
      </w:r>
      <w:r w:rsidR="004D7CD9">
        <w:rPr>
          <w:color w:val="000000"/>
        </w:rPr>
        <w:t xml:space="preserve"> und ggf.</w:t>
      </w:r>
    </w:p>
    <w:p w14:paraId="6C2435EA" w14:textId="77777777" w:rsidR="009F1E75" w:rsidRPr="003019D3" w:rsidRDefault="00D22C71" w:rsidP="00B311EE">
      <w:pPr>
        <w:pStyle w:val="Listenabsatz"/>
        <w:numPr>
          <w:ilvl w:val="0"/>
          <w:numId w:val="34"/>
        </w:numPr>
        <w:overflowPunct/>
        <w:autoSpaceDE/>
        <w:autoSpaceDN/>
        <w:adjustRightInd/>
        <w:spacing w:line="360" w:lineRule="atLeast"/>
        <w:jc w:val="both"/>
        <w:textAlignment w:val="auto"/>
        <w:rPr>
          <w:color w:val="000000" w:themeColor="text1"/>
        </w:rPr>
      </w:pPr>
      <w:r w:rsidRPr="003019D3">
        <w:rPr>
          <w:color w:val="000000"/>
        </w:rPr>
        <w:t xml:space="preserve">weitere in der </w:t>
      </w:r>
      <w:r w:rsidR="00496675" w:rsidRPr="003019D3">
        <w:rPr>
          <w:color w:val="000000"/>
        </w:rPr>
        <w:t>Vorantragskonferenz</w:t>
      </w:r>
      <w:r w:rsidRPr="003019D3">
        <w:rPr>
          <w:color w:val="000000"/>
        </w:rPr>
        <w:t xml:space="preserve"> identifizierte relevante Punkte bzw. zu beteiligende Stellen</w:t>
      </w:r>
      <w:r w:rsidR="004058C2">
        <w:rPr>
          <w:color w:val="000000"/>
          <w:szCs w:val="22"/>
          <w:lang w:eastAsia="en-US"/>
        </w:rPr>
        <w:t>.</w:t>
      </w:r>
    </w:p>
    <w:p w14:paraId="44355056" w14:textId="77777777" w:rsidR="00D22C71" w:rsidRPr="00D22C71" w:rsidRDefault="00D22C71" w:rsidP="00D22C71">
      <w:pPr>
        <w:overflowPunct/>
        <w:autoSpaceDE/>
        <w:autoSpaceDN/>
        <w:adjustRightInd/>
        <w:spacing w:line="360" w:lineRule="atLeast"/>
        <w:jc w:val="both"/>
        <w:textAlignment w:val="auto"/>
        <w:rPr>
          <w:color w:val="000000" w:themeColor="text1"/>
          <w:szCs w:val="22"/>
          <w:lang w:eastAsia="en-US"/>
        </w:rPr>
      </w:pPr>
    </w:p>
    <w:p w14:paraId="1D4FCB56" w14:textId="40A8EA6B" w:rsidR="0063164B" w:rsidRDefault="0063164B" w:rsidP="00D22C71">
      <w:pPr>
        <w:overflowPunct/>
        <w:autoSpaceDE/>
        <w:autoSpaceDN/>
        <w:adjustRightInd/>
        <w:spacing w:line="360" w:lineRule="atLeast"/>
        <w:jc w:val="both"/>
        <w:textAlignment w:val="auto"/>
        <w:rPr>
          <w:color w:val="000000" w:themeColor="text1"/>
          <w:szCs w:val="22"/>
          <w:lang w:eastAsia="en-US"/>
        </w:rPr>
      </w:pPr>
      <w:r>
        <w:rPr>
          <w:color w:val="000000" w:themeColor="text1"/>
          <w:szCs w:val="22"/>
          <w:lang w:eastAsia="en-US"/>
        </w:rPr>
        <w:t xml:space="preserve">Ist einem </w:t>
      </w:r>
      <w:proofErr w:type="spellStart"/>
      <w:r>
        <w:rPr>
          <w:color w:val="000000" w:themeColor="text1"/>
          <w:szCs w:val="22"/>
          <w:lang w:eastAsia="en-US"/>
        </w:rPr>
        <w:t>TöB</w:t>
      </w:r>
      <w:proofErr w:type="spellEnd"/>
      <w:r>
        <w:rPr>
          <w:color w:val="000000" w:themeColor="text1"/>
          <w:szCs w:val="22"/>
          <w:lang w:eastAsia="en-US"/>
        </w:rPr>
        <w:t xml:space="preserve"> die Teilnahme an der Vorantragskonferenz nicht möglich, so übersendet er der Genehmigungsbehörde rechtzeitig vorab seine Stellungnahme zu der vorgelegten Projektskizze, aus der verbindlich hervorgeht, welche Antragsunterlagen </w:t>
      </w:r>
      <w:r w:rsidR="00071A3D">
        <w:rPr>
          <w:color w:val="000000" w:themeColor="text1"/>
          <w:szCs w:val="22"/>
          <w:lang w:eastAsia="en-US"/>
        </w:rPr>
        <w:t>er in Bezug auf seine Belange für erforderlich hält</w:t>
      </w:r>
      <w:r>
        <w:rPr>
          <w:color w:val="000000" w:themeColor="text1"/>
          <w:szCs w:val="22"/>
          <w:lang w:eastAsia="en-US"/>
        </w:rPr>
        <w:t>. Die Stellungnahme wird dann in der Vorantragskonferenz verlesen und mit zu Protokoll genommen.</w:t>
      </w:r>
    </w:p>
    <w:p w14:paraId="52768E7A" w14:textId="77777777" w:rsidR="0063164B" w:rsidRDefault="0063164B" w:rsidP="00D22C71">
      <w:pPr>
        <w:overflowPunct/>
        <w:autoSpaceDE/>
        <w:autoSpaceDN/>
        <w:adjustRightInd/>
        <w:spacing w:line="360" w:lineRule="atLeast"/>
        <w:jc w:val="both"/>
        <w:textAlignment w:val="auto"/>
        <w:rPr>
          <w:color w:val="000000" w:themeColor="text1"/>
          <w:szCs w:val="22"/>
          <w:lang w:eastAsia="en-US"/>
        </w:rPr>
      </w:pPr>
    </w:p>
    <w:p w14:paraId="4C57D6AC" w14:textId="6094CEA3" w:rsidR="00D22C71" w:rsidRPr="00D22C71" w:rsidRDefault="00D22C71" w:rsidP="00D22C71">
      <w:pPr>
        <w:overflowPunct/>
        <w:autoSpaceDE/>
        <w:autoSpaceDN/>
        <w:adjustRightInd/>
        <w:spacing w:line="360" w:lineRule="atLeast"/>
        <w:jc w:val="both"/>
        <w:textAlignment w:val="auto"/>
        <w:rPr>
          <w:color w:val="000000" w:themeColor="text1"/>
          <w:szCs w:val="22"/>
          <w:lang w:eastAsia="en-US"/>
        </w:rPr>
      </w:pPr>
      <w:r w:rsidRPr="00D22C71">
        <w:rPr>
          <w:color w:val="000000" w:themeColor="text1"/>
          <w:szCs w:val="22"/>
          <w:lang w:eastAsia="en-US"/>
        </w:rPr>
        <w:t xml:space="preserve">Der </w:t>
      </w:r>
      <w:r w:rsidRPr="00B311EE">
        <w:rPr>
          <w:color w:val="000000" w:themeColor="text1"/>
          <w:szCs w:val="22"/>
          <w:lang w:eastAsia="en-US"/>
        </w:rPr>
        <w:t xml:space="preserve">gemeinsam vereinbarte </w:t>
      </w:r>
      <w:r w:rsidR="00BE30BA">
        <w:rPr>
          <w:color w:val="000000" w:themeColor="text1"/>
          <w:szCs w:val="22"/>
          <w:lang w:eastAsia="en-US"/>
        </w:rPr>
        <w:t>Rahmen</w:t>
      </w:r>
      <w:r w:rsidR="00BE30BA" w:rsidRPr="00B311EE">
        <w:rPr>
          <w:color w:val="000000" w:themeColor="text1"/>
          <w:szCs w:val="22"/>
          <w:lang w:eastAsia="en-US"/>
        </w:rPr>
        <w:t xml:space="preserve"> </w:t>
      </w:r>
      <w:r w:rsidRPr="00B311EE">
        <w:rPr>
          <w:color w:val="000000" w:themeColor="text1"/>
          <w:szCs w:val="22"/>
          <w:lang w:eastAsia="en-US"/>
        </w:rPr>
        <w:t xml:space="preserve">ist grundsätzlich als für alle Beteiligten abschließend und verbindlich anzusehen. Nur im Ausnahmefall oder bei relevanter neuer Sachlage </w:t>
      </w:r>
      <w:r w:rsidR="00064DB5">
        <w:rPr>
          <w:color w:val="000000" w:themeColor="text1"/>
          <w:szCs w:val="22"/>
          <w:lang w:eastAsia="en-US"/>
        </w:rPr>
        <w:t>können</w:t>
      </w:r>
      <w:r w:rsidR="00064DB5" w:rsidRPr="00B311EE">
        <w:rPr>
          <w:color w:val="000000" w:themeColor="text1"/>
          <w:szCs w:val="22"/>
          <w:lang w:eastAsia="en-US"/>
        </w:rPr>
        <w:t xml:space="preserve"> </w:t>
      </w:r>
      <w:proofErr w:type="spellStart"/>
      <w:r w:rsidR="00064DB5">
        <w:rPr>
          <w:color w:val="000000" w:themeColor="text1"/>
          <w:szCs w:val="22"/>
          <w:lang w:eastAsia="en-US"/>
        </w:rPr>
        <w:t>TöB</w:t>
      </w:r>
      <w:proofErr w:type="spellEnd"/>
      <w:r w:rsidR="00064DB5">
        <w:rPr>
          <w:color w:val="000000" w:themeColor="text1"/>
          <w:szCs w:val="22"/>
          <w:lang w:eastAsia="en-US"/>
        </w:rPr>
        <w:t xml:space="preserve"> </w:t>
      </w:r>
      <w:r w:rsidRPr="00B311EE">
        <w:rPr>
          <w:color w:val="000000" w:themeColor="text1"/>
          <w:szCs w:val="22"/>
          <w:lang w:eastAsia="en-US"/>
        </w:rPr>
        <w:t>nachträgliche Anforderungen</w:t>
      </w:r>
      <w:r w:rsidR="00064DB5">
        <w:rPr>
          <w:color w:val="000000" w:themeColor="text1"/>
          <w:szCs w:val="22"/>
          <w:lang w:eastAsia="en-US"/>
        </w:rPr>
        <w:t xml:space="preserve"> </w:t>
      </w:r>
      <w:r w:rsidRPr="00B311EE">
        <w:rPr>
          <w:color w:val="000000" w:themeColor="text1"/>
          <w:szCs w:val="22"/>
          <w:lang w:eastAsia="en-US"/>
        </w:rPr>
        <w:t xml:space="preserve">noch ins Verfahren einbringen. Ziel ist </w:t>
      </w:r>
      <w:r w:rsidRPr="00D22C71">
        <w:rPr>
          <w:color w:val="000000" w:themeColor="text1"/>
          <w:szCs w:val="22"/>
          <w:lang w:eastAsia="en-US"/>
        </w:rPr>
        <w:t>ein ordnungsgemäße</w:t>
      </w:r>
      <w:r w:rsidR="00CE5CB1">
        <w:rPr>
          <w:color w:val="000000" w:themeColor="text1"/>
          <w:szCs w:val="22"/>
          <w:lang w:eastAsia="en-US"/>
        </w:rPr>
        <w:t>r</w:t>
      </w:r>
      <w:r w:rsidRPr="00D22C71">
        <w:rPr>
          <w:color w:val="000000" w:themeColor="text1"/>
          <w:szCs w:val="22"/>
          <w:lang w:eastAsia="en-US"/>
        </w:rPr>
        <w:t xml:space="preserve"> und rechtssichere</w:t>
      </w:r>
      <w:r w:rsidR="00CE5CB1">
        <w:rPr>
          <w:color w:val="000000" w:themeColor="text1"/>
          <w:szCs w:val="22"/>
          <w:lang w:eastAsia="en-US"/>
        </w:rPr>
        <w:t>r</w:t>
      </w:r>
      <w:r w:rsidRPr="00D22C71">
        <w:rPr>
          <w:color w:val="000000" w:themeColor="text1"/>
          <w:szCs w:val="22"/>
          <w:lang w:eastAsia="en-US"/>
        </w:rPr>
        <w:t xml:space="preserve"> Ablauf</w:t>
      </w:r>
      <w:r w:rsidR="00CE5CB1">
        <w:rPr>
          <w:color w:val="000000" w:themeColor="text1"/>
          <w:szCs w:val="22"/>
          <w:lang w:eastAsia="en-US"/>
        </w:rPr>
        <w:t xml:space="preserve"> </w:t>
      </w:r>
      <w:r w:rsidR="00D64CDD">
        <w:rPr>
          <w:color w:val="000000" w:themeColor="text1"/>
          <w:szCs w:val="22"/>
          <w:lang w:eastAsia="en-US"/>
        </w:rPr>
        <w:t>sowie</w:t>
      </w:r>
      <w:r w:rsidR="00D64CDD" w:rsidRPr="00D22C71">
        <w:rPr>
          <w:color w:val="000000" w:themeColor="text1"/>
          <w:szCs w:val="22"/>
          <w:lang w:eastAsia="en-US"/>
        </w:rPr>
        <w:t xml:space="preserve"> </w:t>
      </w:r>
      <w:r w:rsidRPr="00D22C71">
        <w:rPr>
          <w:color w:val="000000" w:themeColor="text1"/>
          <w:szCs w:val="22"/>
          <w:lang w:eastAsia="en-US"/>
        </w:rPr>
        <w:t>eine geringstmögliche und verläss</w:t>
      </w:r>
      <w:r w:rsidR="00B311EE">
        <w:rPr>
          <w:color w:val="000000" w:themeColor="text1"/>
          <w:szCs w:val="22"/>
          <w:lang w:eastAsia="en-US"/>
        </w:rPr>
        <w:t>lich absehbare Verfahrensdauer.</w:t>
      </w:r>
    </w:p>
    <w:p w14:paraId="60D35FBF"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280D055E" w14:textId="64348688" w:rsidR="00D22C71" w:rsidRPr="00D22C71" w:rsidRDefault="00071A3D" w:rsidP="00D22C71">
      <w:pPr>
        <w:overflowPunct/>
        <w:autoSpaceDE/>
        <w:autoSpaceDN/>
        <w:adjustRightInd/>
        <w:spacing w:line="360" w:lineRule="atLeast"/>
        <w:jc w:val="both"/>
        <w:textAlignment w:val="auto"/>
        <w:rPr>
          <w:color w:val="000000"/>
          <w:szCs w:val="22"/>
          <w:lang w:eastAsia="en-US"/>
        </w:rPr>
      </w:pPr>
      <w:r>
        <w:rPr>
          <w:color w:val="000000"/>
          <w:szCs w:val="22"/>
          <w:lang w:eastAsia="en-US"/>
        </w:rPr>
        <w:t>Der Vorhabenträger hat a</w:t>
      </w:r>
      <w:r w:rsidR="00D22C71" w:rsidRPr="00D22C71">
        <w:rPr>
          <w:color w:val="000000"/>
          <w:szCs w:val="22"/>
          <w:lang w:eastAsia="en-US"/>
        </w:rPr>
        <w:t xml:space="preserve">nhand des verabredeten </w:t>
      </w:r>
      <w:r w:rsidR="00BE30BA">
        <w:rPr>
          <w:color w:val="000000"/>
          <w:szCs w:val="22"/>
          <w:lang w:eastAsia="en-US"/>
        </w:rPr>
        <w:t>Rahmens</w:t>
      </w:r>
      <w:r w:rsidR="00BE30BA" w:rsidRPr="00D22C71">
        <w:rPr>
          <w:color w:val="000000"/>
          <w:szCs w:val="22"/>
          <w:lang w:eastAsia="en-US"/>
        </w:rPr>
        <w:t xml:space="preserve"> </w:t>
      </w:r>
      <w:r w:rsidR="00D22C71" w:rsidRPr="00D22C71">
        <w:rPr>
          <w:color w:val="000000"/>
          <w:szCs w:val="22"/>
          <w:lang w:eastAsia="en-US"/>
        </w:rPr>
        <w:t xml:space="preserve">die Antragsunterlagen zu fertigen. </w:t>
      </w:r>
      <w:r>
        <w:rPr>
          <w:color w:val="000000"/>
          <w:szCs w:val="22"/>
          <w:lang w:eastAsia="en-US"/>
        </w:rPr>
        <w:t>Er soll</w:t>
      </w:r>
      <w:r w:rsidR="00D22C71" w:rsidRPr="00D22C71">
        <w:rPr>
          <w:color w:val="000000"/>
          <w:szCs w:val="22"/>
          <w:lang w:eastAsia="en-US"/>
        </w:rPr>
        <w:t xml:space="preserve"> bereits in der </w:t>
      </w:r>
      <w:r w:rsidR="00496675" w:rsidRPr="00496675">
        <w:rPr>
          <w:color w:val="000000"/>
          <w:szCs w:val="22"/>
          <w:lang w:eastAsia="en-US"/>
        </w:rPr>
        <w:t>Vorantragskonferenz</w:t>
      </w:r>
      <w:r w:rsidR="00D22C71" w:rsidRPr="00D22C71">
        <w:rPr>
          <w:color w:val="000000"/>
          <w:szCs w:val="22"/>
          <w:lang w:eastAsia="en-US"/>
        </w:rPr>
        <w:t xml:space="preserve"> angeben, bis wann voraussichtlich </w:t>
      </w:r>
      <w:r w:rsidR="00D22C71" w:rsidRPr="00D22C71">
        <w:rPr>
          <w:color w:val="000000"/>
          <w:szCs w:val="22"/>
          <w:lang w:eastAsia="en-US"/>
        </w:rPr>
        <w:lastRenderedPageBreak/>
        <w:t xml:space="preserve">mit dem Genehmigungsantrag zu rechnen ist, damit der bestehende Zeitplan </w:t>
      </w:r>
      <w:r w:rsidR="009F1E75">
        <w:rPr>
          <w:color w:val="000000"/>
          <w:szCs w:val="22"/>
          <w:lang w:eastAsia="en-US"/>
        </w:rPr>
        <w:t>(s. Kapitel 2.1 und Kapitel 3.</w:t>
      </w:r>
      <w:r w:rsidR="00122794">
        <w:rPr>
          <w:color w:val="000000"/>
          <w:szCs w:val="22"/>
          <w:lang w:eastAsia="en-US"/>
        </w:rPr>
        <w:t>6</w:t>
      </w:r>
      <w:r w:rsidR="009F1E75">
        <w:rPr>
          <w:color w:val="000000"/>
          <w:szCs w:val="22"/>
          <w:lang w:eastAsia="en-US"/>
        </w:rPr>
        <w:t xml:space="preserve">) </w:t>
      </w:r>
      <w:r w:rsidR="00D22C71" w:rsidRPr="00D22C71">
        <w:rPr>
          <w:color w:val="000000"/>
          <w:szCs w:val="22"/>
          <w:lang w:eastAsia="en-US"/>
        </w:rPr>
        <w:t xml:space="preserve">angepasst werden kann. </w:t>
      </w:r>
    </w:p>
    <w:p w14:paraId="1693BEF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3D11DF13" w14:textId="2E7792CF" w:rsidR="00D22C71" w:rsidRPr="00D22C71" w:rsidRDefault="00D22C71" w:rsidP="00D22C71">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Die Besprechungsergebnisse der </w:t>
      </w:r>
      <w:r w:rsidR="00496675" w:rsidRPr="00496675">
        <w:rPr>
          <w:color w:val="000000"/>
          <w:szCs w:val="22"/>
          <w:lang w:eastAsia="en-US"/>
        </w:rPr>
        <w:t>Vorantragskonferenz</w:t>
      </w:r>
      <w:r w:rsidRPr="00D22C71">
        <w:rPr>
          <w:color w:val="000000"/>
          <w:szCs w:val="22"/>
          <w:lang w:eastAsia="en-US"/>
        </w:rPr>
        <w:t xml:space="preserve"> werden </w:t>
      </w:r>
      <w:r w:rsidR="00591FD4">
        <w:rPr>
          <w:color w:val="000000"/>
          <w:szCs w:val="22"/>
          <w:lang w:eastAsia="en-US"/>
        </w:rPr>
        <w:t xml:space="preserve">von der </w:t>
      </w:r>
      <w:r w:rsidR="00496675">
        <w:rPr>
          <w:color w:val="000000"/>
          <w:szCs w:val="22"/>
          <w:lang w:eastAsia="en-US"/>
        </w:rPr>
        <w:t>Genehmigungsbehörde</w:t>
      </w:r>
      <w:r w:rsidR="00591FD4">
        <w:rPr>
          <w:color w:val="000000"/>
          <w:szCs w:val="22"/>
          <w:lang w:eastAsia="en-US"/>
        </w:rPr>
        <w:t xml:space="preserve"> festgehalten</w:t>
      </w:r>
      <w:r w:rsidR="00647DAC">
        <w:rPr>
          <w:color w:val="000000"/>
          <w:szCs w:val="22"/>
          <w:lang w:eastAsia="en-US"/>
        </w:rPr>
        <w:t xml:space="preserve"> und</w:t>
      </w:r>
      <w:r w:rsidR="000A0CE4">
        <w:rPr>
          <w:color w:val="000000"/>
          <w:szCs w:val="22"/>
          <w:lang w:eastAsia="en-US"/>
        </w:rPr>
        <w:t xml:space="preserve"> ein Protokoll an</w:t>
      </w:r>
      <w:r w:rsidR="00591FD4">
        <w:rPr>
          <w:color w:val="000000"/>
          <w:szCs w:val="22"/>
          <w:lang w:eastAsia="en-US"/>
        </w:rPr>
        <w:t xml:space="preserve"> al</w:t>
      </w:r>
      <w:r w:rsidRPr="00D22C71">
        <w:rPr>
          <w:color w:val="000000"/>
          <w:szCs w:val="22"/>
          <w:lang w:eastAsia="en-US"/>
        </w:rPr>
        <w:t xml:space="preserve">le Beteiligten </w:t>
      </w:r>
      <w:r w:rsidR="005D6918">
        <w:rPr>
          <w:color w:val="000000"/>
          <w:szCs w:val="22"/>
          <w:lang w:eastAsia="en-US"/>
        </w:rPr>
        <w:t>übersandt</w:t>
      </w:r>
      <w:r w:rsidRPr="00D22C71">
        <w:rPr>
          <w:color w:val="000000"/>
          <w:szCs w:val="22"/>
          <w:lang w:eastAsia="en-US"/>
        </w:rPr>
        <w:t>. Änderung</w:t>
      </w:r>
      <w:r w:rsidR="001C5F77">
        <w:rPr>
          <w:color w:val="000000"/>
          <w:szCs w:val="22"/>
          <w:lang w:eastAsia="en-US"/>
        </w:rPr>
        <w:t>s</w:t>
      </w:r>
      <w:r w:rsidRPr="00D22C71">
        <w:rPr>
          <w:color w:val="000000"/>
          <w:szCs w:val="22"/>
          <w:lang w:eastAsia="en-US"/>
        </w:rPr>
        <w:t xml:space="preserve">- oder Ergänzungswünsche </w:t>
      </w:r>
      <w:r w:rsidR="000A0CE4">
        <w:rPr>
          <w:color w:val="000000"/>
          <w:szCs w:val="22"/>
          <w:lang w:eastAsia="en-US"/>
        </w:rPr>
        <w:t>sollen</w:t>
      </w:r>
      <w:r w:rsidR="000A0CE4" w:rsidRPr="00D22C71">
        <w:rPr>
          <w:color w:val="000000"/>
          <w:szCs w:val="22"/>
          <w:lang w:eastAsia="en-US"/>
        </w:rPr>
        <w:t xml:space="preserve"> </w:t>
      </w:r>
      <w:r w:rsidRPr="00D22C71">
        <w:rPr>
          <w:color w:val="000000"/>
          <w:szCs w:val="22"/>
          <w:lang w:eastAsia="en-US"/>
        </w:rPr>
        <w:t xml:space="preserve">unverzüglich, spätestens jedoch </w:t>
      </w:r>
      <w:r w:rsidRPr="00D22C71">
        <w:rPr>
          <w:color w:val="000000" w:themeColor="text1"/>
          <w:szCs w:val="22"/>
          <w:lang w:eastAsia="en-US"/>
        </w:rPr>
        <w:t xml:space="preserve">innerhalb </w:t>
      </w:r>
      <w:r w:rsidR="000A0CE4">
        <w:rPr>
          <w:color w:val="000000" w:themeColor="text1"/>
          <w:szCs w:val="22"/>
          <w:lang w:eastAsia="en-US"/>
        </w:rPr>
        <w:t xml:space="preserve">einer von der Genehmigungsbehörde gesetzten angemessenen Frist z. B. </w:t>
      </w:r>
      <w:r w:rsidR="000A0CE4" w:rsidRPr="00D22C71">
        <w:rPr>
          <w:color w:val="000000" w:themeColor="text1"/>
          <w:szCs w:val="22"/>
          <w:lang w:eastAsia="en-US"/>
        </w:rPr>
        <w:t xml:space="preserve">von 2 Wochen </w:t>
      </w:r>
      <w:r w:rsidR="000A0CE4">
        <w:rPr>
          <w:color w:val="000000"/>
          <w:szCs w:val="22"/>
          <w:lang w:eastAsia="en-US"/>
        </w:rPr>
        <w:t>mitgeteilt werden</w:t>
      </w:r>
      <w:r w:rsidRPr="00D22C71">
        <w:rPr>
          <w:color w:val="000000"/>
          <w:szCs w:val="22"/>
          <w:lang w:eastAsia="en-US"/>
        </w:rPr>
        <w:t>. Danach geht allen Beteiligten eine finale</w:t>
      </w:r>
      <w:r w:rsidR="000A0CE4">
        <w:rPr>
          <w:color w:val="000000"/>
          <w:szCs w:val="22"/>
          <w:lang w:eastAsia="en-US"/>
        </w:rPr>
        <w:t xml:space="preserve"> </w:t>
      </w:r>
      <w:r w:rsidRPr="00D22C71">
        <w:rPr>
          <w:color w:val="000000"/>
          <w:szCs w:val="22"/>
          <w:lang w:eastAsia="en-US"/>
        </w:rPr>
        <w:t>Version zu.</w:t>
      </w:r>
    </w:p>
    <w:p w14:paraId="71A7B178" w14:textId="77777777" w:rsidR="00D22C71" w:rsidRPr="00D22C71" w:rsidRDefault="00D22C71" w:rsidP="00D22C71">
      <w:pPr>
        <w:overflowPunct/>
        <w:autoSpaceDE/>
        <w:autoSpaceDN/>
        <w:adjustRightInd/>
        <w:spacing w:line="360" w:lineRule="atLeast"/>
        <w:jc w:val="both"/>
        <w:textAlignment w:val="auto"/>
        <w:rPr>
          <w:color w:val="000000"/>
          <w:szCs w:val="22"/>
          <w:lang w:eastAsia="en-US"/>
        </w:rPr>
      </w:pPr>
    </w:p>
    <w:p w14:paraId="49503311" w14:textId="4E19EFFD" w:rsidR="008202B6" w:rsidRPr="00B311EE" w:rsidRDefault="00591FD4" w:rsidP="00B311EE">
      <w:pPr>
        <w:overflowPunct/>
        <w:autoSpaceDE/>
        <w:autoSpaceDN/>
        <w:adjustRightInd/>
        <w:spacing w:line="360" w:lineRule="atLeast"/>
        <w:jc w:val="both"/>
        <w:textAlignment w:val="auto"/>
        <w:rPr>
          <w:color w:val="000000"/>
          <w:szCs w:val="22"/>
          <w:lang w:eastAsia="en-US"/>
        </w:rPr>
      </w:pPr>
      <w:r w:rsidRPr="00D22C71">
        <w:rPr>
          <w:color w:val="000000"/>
          <w:szCs w:val="22"/>
          <w:lang w:eastAsia="en-US"/>
        </w:rPr>
        <w:t xml:space="preserve">Zwischen der </w:t>
      </w:r>
      <w:r w:rsidR="00496675" w:rsidRPr="00496675">
        <w:rPr>
          <w:color w:val="000000"/>
          <w:szCs w:val="22"/>
          <w:lang w:eastAsia="en-US"/>
        </w:rPr>
        <w:t>Vorantragskonferenz</w:t>
      </w:r>
      <w:r w:rsidRPr="00D22C71">
        <w:rPr>
          <w:color w:val="000000"/>
          <w:szCs w:val="22"/>
          <w:lang w:eastAsia="en-US"/>
        </w:rPr>
        <w:t xml:space="preserve"> und der Antragstellung halten die </w:t>
      </w:r>
      <w:r w:rsidR="001C5F77">
        <w:rPr>
          <w:color w:val="000000"/>
          <w:szCs w:val="22"/>
          <w:lang w:eastAsia="en-US"/>
        </w:rPr>
        <w:t>Genehmigungsbehörden</w:t>
      </w:r>
      <w:r w:rsidR="00647DAC">
        <w:rPr>
          <w:color w:val="000000"/>
          <w:szCs w:val="22"/>
          <w:lang w:eastAsia="en-US"/>
        </w:rPr>
        <w:t>,</w:t>
      </w:r>
      <w:r w:rsidRPr="00D22C71">
        <w:rPr>
          <w:color w:val="000000"/>
          <w:szCs w:val="22"/>
          <w:lang w:eastAsia="en-US"/>
        </w:rPr>
        <w:t xml:space="preserve"> aber auch die Fachbehörden</w:t>
      </w:r>
      <w:r w:rsidR="004D63A0">
        <w:rPr>
          <w:color w:val="000000"/>
          <w:szCs w:val="22"/>
          <w:lang w:eastAsia="en-US"/>
        </w:rPr>
        <w:t>,</w:t>
      </w:r>
      <w:r w:rsidRPr="00D22C71">
        <w:rPr>
          <w:color w:val="000000"/>
          <w:szCs w:val="22"/>
          <w:lang w:eastAsia="en-US"/>
        </w:rPr>
        <w:t xml:space="preserve"> Kontakt mit </w:t>
      </w:r>
      <w:r>
        <w:rPr>
          <w:color w:val="000000"/>
          <w:szCs w:val="22"/>
          <w:lang w:eastAsia="en-US"/>
        </w:rPr>
        <w:t xml:space="preserve">dem </w:t>
      </w:r>
      <w:r w:rsidR="00496675">
        <w:rPr>
          <w:color w:val="000000"/>
          <w:szCs w:val="22"/>
          <w:lang w:eastAsia="en-US"/>
        </w:rPr>
        <w:t>Vorhabenträger</w:t>
      </w:r>
      <w:r>
        <w:rPr>
          <w:color w:val="000000"/>
          <w:szCs w:val="22"/>
          <w:lang w:eastAsia="en-US"/>
        </w:rPr>
        <w:t>. Ein regelmäßiger Jour f</w:t>
      </w:r>
      <w:r w:rsidRPr="00D22C71">
        <w:rPr>
          <w:color w:val="000000"/>
          <w:szCs w:val="22"/>
          <w:lang w:eastAsia="en-US"/>
        </w:rPr>
        <w:t xml:space="preserve">ixe </w:t>
      </w:r>
      <w:r>
        <w:rPr>
          <w:color w:val="000000"/>
          <w:szCs w:val="22"/>
          <w:lang w:eastAsia="en-US"/>
        </w:rPr>
        <w:t>(s. Kapitel 3.</w:t>
      </w:r>
      <w:r w:rsidR="00930228">
        <w:rPr>
          <w:color w:val="000000"/>
          <w:szCs w:val="22"/>
          <w:lang w:eastAsia="en-US"/>
        </w:rPr>
        <w:t>7</w:t>
      </w:r>
      <w:r>
        <w:rPr>
          <w:color w:val="000000"/>
          <w:szCs w:val="22"/>
          <w:lang w:eastAsia="en-US"/>
        </w:rPr>
        <w:t xml:space="preserve">) </w:t>
      </w:r>
      <w:r w:rsidRPr="00D22C71">
        <w:rPr>
          <w:color w:val="000000"/>
          <w:szCs w:val="22"/>
          <w:lang w:eastAsia="en-US"/>
        </w:rPr>
        <w:t xml:space="preserve">ist zwischen </w:t>
      </w:r>
      <w:r w:rsidR="00496675">
        <w:rPr>
          <w:color w:val="000000"/>
          <w:szCs w:val="22"/>
          <w:lang w:eastAsia="en-US"/>
        </w:rPr>
        <w:t>Genehmigungsbehörde</w:t>
      </w:r>
      <w:r w:rsidRPr="00D22C71">
        <w:rPr>
          <w:color w:val="000000"/>
          <w:szCs w:val="22"/>
          <w:lang w:eastAsia="en-US"/>
        </w:rPr>
        <w:t xml:space="preserve"> und </w:t>
      </w:r>
      <w:r w:rsidR="00496675">
        <w:rPr>
          <w:color w:val="000000"/>
          <w:szCs w:val="22"/>
          <w:lang w:eastAsia="en-US"/>
        </w:rPr>
        <w:t>Vorhabenträger</w:t>
      </w:r>
      <w:r w:rsidRPr="00D22C71">
        <w:rPr>
          <w:color w:val="000000"/>
          <w:szCs w:val="22"/>
          <w:lang w:eastAsia="en-US"/>
        </w:rPr>
        <w:t xml:space="preserve"> sowie</w:t>
      </w:r>
      <w:r w:rsidR="000A0CE4">
        <w:rPr>
          <w:color w:val="000000"/>
          <w:szCs w:val="22"/>
          <w:lang w:eastAsia="en-US"/>
        </w:rPr>
        <w:t xml:space="preserve"> ggf.</w:t>
      </w:r>
      <w:r w:rsidR="00D64CDD" w:rsidRPr="00D22C71">
        <w:rPr>
          <w:color w:val="000000"/>
          <w:szCs w:val="22"/>
          <w:lang w:eastAsia="en-US"/>
        </w:rPr>
        <w:t xml:space="preserve"> </w:t>
      </w:r>
      <w:r w:rsidR="00647DAC">
        <w:rPr>
          <w:color w:val="000000"/>
          <w:szCs w:val="22"/>
          <w:lang w:eastAsia="en-US"/>
        </w:rPr>
        <w:t>beteiligte</w:t>
      </w:r>
      <w:r w:rsidR="005D6918">
        <w:rPr>
          <w:color w:val="000000"/>
          <w:szCs w:val="22"/>
          <w:lang w:eastAsia="en-US"/>
        </w:rPr>
        <w:t>n</w:t>
      </w:r>
      <w:r w:rsidRPr="00D22C71">
        <w:rPr>
          <w:color w:val="000000"/>
          <w:szCs w:val="22"/>
          <w:lang w:eastAsia="en-US"/>
        </w:rPr>
        <w:t xml:space="preserve"> </w:t>
      </w:r>
      <w:r w:rsidR="00647DAC" w:rsidRPr="00D22C71">
        <w:rPr>
          <w:color w:val="000000"/>
          <w:szCs w:val="22"/>
          <w:lang w:eastAsia="en-US"/>
        </w:rPr>
        <w:t>Fach</w:t>
      </w:r>
      <w:r w:rsidR="00647DAC">
        <w:rPr>
          <w:color w:val="000000"/>
          <w:szCs w:val="22"/>
          <w:lang w:eastAsia="en-US"/>
        </w:rPr>
        <w:t>behörden</w:t>
      </w:r>
      <w:r w:rsidR="00BE30BA" w:rsidRPr="00BE30BA">
        <w:rPr>
          <w:color w:val="000000"/>
          <w:szCs w:val="22"/>
          <w:lang w:eastAsia="en-US"/>
        </w:rPr>
        <w:t xml:space="preserve"> </w:t>
      </w:r>
      <w:r w:rsidR="00BE30BA" w:rsidRPr="00D22C71">
        <w:rPr>
          <w:color w:val="000000"/>
          <w:szCs w:val="22"/>
          <w:lang w:eastAsia="en-US"/>
        </w:rPr>
        <w:t>einzurichten</w:t>
      </w:r>
      <w:r w:rsidRPr="00D22C71">
        <w:rPr>
          <w:color w:val="000000"/>
          <w:szCs w:val="22"/>
          <w:lang w:eastAsia="en-US"/>
        </w:rPr>
        <w:t xml:space="preserve">. </w:t>
      </w:r>
      <w:r>
        <w:rPr>
          <w:color w:val="000000"/>
          <w:szCs w:val="22"/>
          <w:lang w:eastAsia="en-US"/>
        </w:rPr>
        <w:t>Der spätestens</w:t>
      </w:r>
      <w:r w:rsidRPr="00D22C71">
        <w:rPr>
          <w:color w:val="000000"/>
          <w:szCs w:val="22"/>
          <w:lang w:eastAsia="en-US"/>
        </w:rPr>
        <w:t xml:space="preserve"> in der </w:t>
      </w:r>
      <w:r w:rsidR="00496675" w:rsidRPr="00496675">
        <w:rPr>
          <w:color w:val="000000"/>
          <w:szCs w:val="22"/>
          <w:lang w:eastAsia="en-US"/>
        </w:rPr>
        <w:t>Vorantragskonferenz</w:t>
      </w:r>
      <w:r w:rsidRPr="00D22C71">
        <w:rPr>
          <w:color w:val="000000"/>
          <w:szCs w:val="22"/>
          <w:lang w:eastAsia="en-US"/>
        </w:rPr>
        <w:t xml:space="preserve"> </w:t>
      </w:r>
      <w:r>
        <w:rPr>
          <w:color w:val="000000"/>
          <w:szCs w:val="22"/>
          <w:lang w:eastAsia="en-US"/>
        </w:rPr>
        <w:t>festgelegte</w:t>
      </w:r>
      <w:r w:rsidR="00BE30BA">
        <w:rPr>
          <w:color w:val="000000"/>
          <w:szCs w:val="22"/>
          <w:lang w:eastAsia="en-US"/>
        </w:rPr>
        <w:t xml:space="preserve"> </w:t>
      </w:r>
      <w:r>
        <w:rPr>
          <w:color w:val="000000"/>
          <w:szCs w:val="22"/>
          <w:lang w:eastAsia="en-US"/>
        </w:rPr>
        <w:t xml:space="preserve">Verfahrensablauf </w:t>
      </w:r>
      <w:r w:rsidR="00071A3D">
        <w:t xml:space="preserve">ist </w:t>
      </w:r>
      <w:r>
        <w:t xml:space="preserve">im Rahmen der Jours fixes </w:t>
      </w:r>
      <w:r w:rsidRPr="00D22C71">
        <w:rPr>
          <w:color w:val="000000"/>
          <w:szCs w:val="22"/>
          <w:lang w:eastAsia="en-US"/>
        </w:rPr>
        <w:t xml:space="preserve">zu beachten und gegebenenfalls zu evaluieren. Frühzeitige Absprachen über </w:t>
      </w:r>
      <w:r w:rsidR="005D6918">
        <w:rPr>
          <w:color w:val="000000"/>
          <w:szCs w:val="22"/>
          <w:lang w:eastAsia="en-US"/>
        </w:rPr>
        <w:t>ausnahms</w:t>
      </w:r>
      <w:r w:rsidR="005D6918" w:rsidRPr="00D22C71">
        <w:rPr>
          <w:color w:val="000000"/>
          <w:szCs w:val="22"/>
          <w:lang w:eastAsia="en-US"/>
        </w:rPr>
        <w:t xml:space="preserve">weise </w:t>
      </w:r>
      <w:r w:rsidRPr="00D22C71">
        <w:rPr>
          <w:color w:val="000000"/>
          <w:szCs w:val="22"/>
          <w:lang w:eastAsia="en-US"/>
        </w:rPr>
        <w:t>zusätzlich notwendig werdende Gutachten erleichtern das Zeitmanagement und die Einhaltung des Zeitplans</w:t>
      </w:r>
      <w:r w:rsidR="005A623F">
        <w:rPr>
          <w:color w:val="000000"/>
          <w:szCs w:val="22"/>
          <w:lang w:eastAsia="en-US"/>
        </w:rPr>
        <w:t>.</w:t>
      </w:r>
      <w:r w:rsidRPr="00D22C71">
        <w:rPr>
          <w:color w:val="000000"/>
          <w:szCs w:val="22"/>
          <w:lang w:eastAsia="en-US"/>
        </w:rPr>
        <w:t xml:space="preserve"> </w:t>
      </w:r>
    </w:p>
    <w:p w14:paraId="24C3F15D" w14:textId="77777777" w:rsidR="00C80792" w:rsidRDefault="00C80792" w:rsidP="0016672A">
      <w:pPr>
        <w:pStyle w:val="BW1Standard"/>
      </w:pPr>
    </w:p>
    <w:p w14:paraId="0C0F3CA1" w14:textId="77777777" w:rsidR="0016672A" w:rsidRPr="0016672A" w:rsidRDefault="0016672A" w:rsidP="000C26BF">
      <w:pPr>
        <w:pStyle w:val="UMberschrift1numArial-fett-12pt"/>
      </w:pPr>
      <w:r w:rsidRPr="0016672A">
        <w:t>Genehmigungsverfahren</w:t>
      </w:r>
    </w:p>
    <w:p w14:paraId="3F9596AC" w14:textId="7FCCACE2" w:rsidR="008202B6" w:rsidRPr="0016672A" w:rsidRDefault="009F4117" w:rsidP="000C26BF">
      <w:pPr>
        <w:pStyle w:val="UMberschrift2num-Arial-12pt"/>
      </w:pPr>
      <w:r>
        <w:t>Verfahrensschritte und Fristen</w:t>
      </w:r>
    </w:p>
    <w:p w14:paraId="56EE3291" w14:textId="77777777" w:rsidR="00EB176C" w:rsidRDefault="00EB176C" w:rsidP="009F0FAD">
      <w:pPr>
        <w:overflowPunct/>
        <w:autoSpaceDE/>
        <w:autoSpaceDN/>
        <w:adjustRightInd/>
        <w:spacing w:line="360" w:lineRule="atLeast"/>
        <w:jc w:val="both"/>
        <w:textAlignment w:val="auto"/>
      </w:pPr>
    </w:p>
    <w:p w14:paraId="68C22870" w14:textId="5A462416" w:rsidR="006C12DC" w:rsidRDefault="00F3316C" w:rsidP="009F0FAD">
      <w:pPr>
        <w:overflowPunct/>
        <w:autoSpaceDE/>
        <w:autoSpaceDN/>
        <w:adjustRightInd/>
        <w:spacing w:line="360" w:lineRule="atLeast"/>
        <w:jc w:val="both"/>
        <w:textAlignment w:val="auto"/>
      </w:pPr>
      <w:r>
        <w:t>Die i</w:t>
      </w:r>
      <w:r w:rsidR="002F63A1">
        <w:t>m</w:t>
      </w:r>
      <w:r>
        <w:t xml:space="preserve"> BImSchG</w:t>
      </w:r>
      <w:r w:rsidR="00B311EE">
        <w:t xml:space="preserve"> </w:t>
      </w:r>
      <w:r w:rsidR="002F63A1">
        <w:t>und in der</w:t>
      </w:r>
      <w:r w:rsidR="00B311EE">
        <w:t xml:space="preserve"> </w:t>
      </w:r>
      <w:r w:rsidR="008202B6" w:rsidRPr="008202B6">
        <w:t xml:space="preserve">9. BImSchV </w:t>
      </w:r>
      <w:r>
        <w:t xml:space="preserve">vorgegebenen Fristen sind </w:t>
      </w:r>
      <w:r w:rsidR="00C218B2">
        <w:t>bereits bei</w:t>
      </w:r>
      <w:r w:rsidR="000715D7">
        <w:t xml:space="preserve"> den ersten Gesprächen und Überlegungen im Rahmen des</w:t>
      </w:r>
      <w:r w:rsidR="00C218B2">
        <w:t xml:space="preserve"> </w:t>
      </w:r>
      <w:r w:rsidR="00C218B2" w:rsidRPr="0016672A">
        <w:t>Projektmanagement</w:t>
      </w:r>
      <w:r w:rsidR="000715D7">
        <w:t>s</w:t>
      </w:r>
      <w:r w:rsidR="00C218B2">
        <w:t xml:space="preserve"> </w:t>
      </w:r>
      <w:r w:rsidR="004058C2">
        <w:t xml:space="preserve">in den Zeitplan </w:t>
      </w:r>
      <w:r w:rsidR="008202B6" w:rsidRPr="008202B6">
        <w:t>auf</w:t>
      </w:r>
      <w:r>
        <w:t>zu</w:t>
      </w:r>
      <w:r w:rsidR="000715D7">
        <w:t>nehmen</w:t>
      </w:r>
      <w:r w:rsidR="00591FD4">
        <w:t xml:space="preserve"> (s. Kapitel 2.1, Kapitel 3.</w:t>
      </w:r>
      <w:r w:rsidR="00930228">
        <w:t>6</w:t>
      </w:r>
      <w:r w:rsidR="00591FD4">
        <w:t>)</w:t>
      </w:r>
      <w:r w:rsidR="004058C2">
        <w:t xml:space="preserve"> und</w:t>
      </w:r>
      <w:r w:rsidR="00D64CDD">
        <w:t xml:space="preserve"> auch</w:t>
      </w:r>
      <w:r w:rsidR="000715D7">
        <w:t xml:space="preserve"> </w:t>
      </w:r>
      <w:r w:rsidR="008202B6" w:rsidRPr="008202B6">
        <w:t xml:space="preserve">gesetzlich nicht vorgeschriebene Zeiträume </w:t>
      </w:r>
      <w:r>
        <w:t xml:space="preserve">zumindest grob zu </w:t>
      </w:r>
      <w:r w:rsidR="008202B6" w:rsidRPr="008202B6">
        <w:t>definieren</w:t>
      </w:r>
      <w:r w:rsidR="00E94180">
        <w:t xml:space="preserve">. </w:t>
      </w:r>
    </w:p>
    <w:p w14:paraId="7B96365D" w14:textId="77777777" w:rsidR="006C12DC" w:rsidRDefault="006C12DC" w:rsidP="00B311EE">
      <w:pPr>
        <w:pStyle w:val="BW1Standard"/>
        <w:rPr>
          <w:u w:val="single"/>
        </w:rPr>
      </w:pPr>
    </w:p>
    <w:p w14:paraId="2E385402" w14:textId="77777777" w:rsidR="00C812FA" w:rsidRDefault="00C812FA" w:rsidP="00C812FA">
      <w:pPr>
        <w:spacing w:line="360" w:lineRule="atLeast"/>
        <w:jc w:val="both"/>
      </w:pPr>
      <w:r>
        <w:t>Der abgestimmte</w:t>
      </w:r>
      <w:r w:rsidRPr="0016672A">
        <w:t xml:space="preserve"> </w:t>
      </w:r>
      <w:r>
        <w:t>Zeitplan soll möglich</w:t>
      </w:r>
      <w:r w:rsidRPr="0016672A">
        <w:t>s</w:t>
      </w:r>
      <w:r>
        <w:t xml:space="preserve">t von beiden Seiten eingehalten werden. Nicht abwendbare Verzögerungen sollen auf beiden Seiten umgehend kommuniziert und der gemeinsame Zeitplan (s. </w:t>
      </w:r>
      <w:r w:rsidRPr="00B311EE">
        <w:t>Kapitel 2.2 und Kapitel 3.</w:t>
      </w:r>
      <w:r>
        <w:t>6</w:t>
      </w:r>
      <w:r w:rsidRPr="00B311EE">
        <w:t>) entsprechend angepasst werden.</w:t>
      </w:r>
    </w:p>
    <w:p w14:paraId="46508973" w14:textId="567A55BF" w:rsidR="00C812FA" w:rsidRDefault="00C812FA" w:rsidP="00C812FA">
      <w:pPr>
        <w:spacing w:line="360" w:lineRule="atLeast"/>
        <w:jc w:val="both"/>
        <w:rPr>
          <w:rFonts w:cs="Arial"/>
          <w:szCs w:val="24"/>
        </w:rPr>
      </w:pPr>
      <w:r w:rsidRPr="00B311EE">
        <w:t xml:space="preserve"> </w:t>
      </w:r>
    </w:p>
    <w:p w14:paraId="1AB5DDB1" w14:textId="77777777" w:rsidR="00C812FA" w:rsidRPr="000F1F53" w:rsidRDefault="00C812FA" w:rsidP="00C812FA">
      <w:pPr>
        <w:spacing w:line="360" w:lineRule="atLeast"/>
        <w:jc w:val="both"/>
      </w:pPr>
      <w:r>
        <w:t>Die Genehmigungsbehörde soll die eingegangenen Unterlagen unverzüglich an die zu beteiligenden Stellen verteilen, unabhängig davon, ob alle erforderlichen Unterlagen vorliegen. Dies ermöglicht, bereits Teilprüfungen vorzunehmen und so den zeitlichen Prozess zu straffen.</w:t>
      </w:r>
    </w:p>
    <w:p w14:paraId="4CB07A48" w14:textId="3439556D" w:rsidR="006C12DC" w:rsidRPr="00591FD4" w:rsidRDefault="00591FD4" w:rsidP="00A24303">
      <w:pPr>
        <w:pStyle w:val="BW1Standard"/>
        <w:jc w:val="both"/>
      </w:pPr>
      <w:r w:rsidRPr="00591FD4">
        <w:lastRenderedPageBreak/>
        <w:t xml:space="preserve">Im Rahmen des Genehmigungsverfahrens </w:t>
      </w:r>
      <w:r>
        <w:t xml:space="preserve">von </w:t>
      </w:r>
      <w:r w:rsidR="00401945">
        <w:t xml:space="preserve">WEA </w:t>
      </w:r>
      <w:r w:rsidRPr="00591FD4">
        <w:t>sind</w:t>
      </w:r>
      <w:r>
        <w:t xml:space="preserve"> – abhängig von der Verfahrensart –</w:t>
      </w:r>
      <w:r w:rsidRPr="00591FD4">
        <w:t xml:space="preserve"> folgende g</w:t>
      </w:r>
      <w:r w:rsidR="006C12DC" w:rsidRPr="00591FD4">
        <w:t>esetzliche Fristen</w:t>
      </w:r>
      <w:r w:rsidRPr="00591FD4">
        <w:t xml:space="preserve"> zu beachten</w:t>
      </w:r>
      <w:r w:rsidR="006C12DC" w:rsidRPr="00591FD4">
        <w:t>:</w:t>
      </w:r>
    </w:p>
    <w:p w14:paraId="294FF699" w14:textId="6EE64F3F" w:rsidR="006C12DC" w:rsidRDefault="006C12DC" w:rsidP="003019D3">
      <w:pPr>
        <w:pStyle w:val="BW1Standard"/>
        <w:numPr>
          <w:ilvl w:val="0"/>
          <w:numId w:val="10"/>
        </w:numPr>
      </w:pPr>
      <w:r w:rsidRPr="008F461D">
        <w:rPr>
          <w:b/>
        </w:rPr>
        <w:t>Eingangsbestätigung</w:t>
      </w:r>
      <w:r>
        <w:t xml:space="preserve"> des Antrags und der Unterlagen hat </w:t>
      </w:r>
      <w:r w:rsidRPr="008F461D">
        <w:rPr>
          <w:b/>
        </w:rPr>
        <w:t>unverzüglich</w:t>
      </w:r>
      <w:r>
        <w:t xml:space="preserve"> zu erfolgen </w:t>
      </w:r>
      <w:r w:rsidR="008F461D">
        <w:t>(</w:t>
      </w:r>
      <w:r w:rsidR="00647DAC">
        <w:t xml:space="preserve">§ 6 der </w:t>
      </w:r>
      <w:r w:rsidR="008F461D">
        <w:t>9. BImSchV).</w:t>
      </w:r>
    </w:p>
    <w:p w14:paraId="7BB40845" w14:textId="17DB08B1" w:rsidR="006C12DC" w:rsidRDefault="00483B9B" w:rsidP="003019D3">
      <w:pPr>
        <w:pStyle w:val="BW1Standard"/>
        <w:numPr>
          <w:ilvl w:val="0"/>
          <w:numId w:val="10"/>
        </w:numPr>
      </w:pPr>
      <w:r w:rsidRPr="00483B9B">
        <w:rPr>
          <w:b/>
          <w:bCs/>
        </w:rPr>
        <w:t>Prüfung auf Vollständigkeit unverzüglich</w:t>
      </w:r>
      <w:r>
        <w:t xml:space="preserve"> nach </w:t>
      </w:r>
      <w:r w:rsidR="00255441">
        <w:t xml:space="preserve">Eingang der Unterlagen, innerhalb </w:t>
      </w:r>
      <w:r w:rsidR="00255441" w:rsidRPr="008F461D">
        <w:rPr>
          <w:b/>
        </w:rPr>
        <w:t>eines Monats</w:t>
      </w:r>
      <w:r>
        <w:t>;</w:t>
      </w:r>
      <w:r w:rsidR="00255441">
        <w:t xml:space="preserve"> </w:t>
      </w:r>
      <w:r w:rsidR="00255441" w:rsidRPr="008F461D">
        <w:rPr>
          <w:b/>
        </w:rPr>
        <w:t>Verlängerung</w:t>
      </w:r>
      <w:r w:rsidR="00255441">
        <w:t xml:space="preserve"> </w:t>
      </w:r>
      <w:r w:rsidR="00255441" w:rsidRPr="008F461D">
        <w:rPr>
          <w:b/>
        </w:rPr>
        <w:t xml:space="preserve">um </w:t>
      </w:r>
      <w:r w:rsidR="00C6648E">
        <w:rPr>
          <w:b/>
        </w:rPr>
        <w:t>2</w:t>
      </w:r>
      <w:r w:rsidR="00255441" w:rsidRPr="008F461D">
        <w:rPr>
          <w:b/>
        </w:rPr>
        <w:t xml:space="preserve"> Wochen</w:t>
      </w:r>
      <w:r w:rsidR="00255441">
        <w:t xml:space="preserve"> in begründeten </w:t>
      </w:r>
      <w:r w:rsidR="00A40818">
        <w:t>Ausnahmef</w:t>
      </w:r>
      <w:r w:rsidR="00255441">
        <w:t xml:space="preserve">ällen </w:t>
      </w:r>
      <w:r w:rsidR="00C474E2">
        <w:t xml:space="preserve">ist </w:t>
      </w:r>
      <w:r w:rsidR="00255441">
        <w:t xml:space="preserve">einmal möglich </w:t>
      </w:r>
      <w:r w:rsidR="008F461D">
        <w:t>(</w:t>
      </w:r>
      <w:r w:rsidR="00647DAC">
        <w:t>§ 7 Abs. 1 S</w:t>
      </w:r>
      <w:r w:rsidR="000A0CE4">
        <w:t>atz</w:t>
      </w:r>
      <w:r w:rsidR="00647DAC">
        <w:t xml:space="preserve"> 1</w:t>
      </w:r>
      <w:r w:rsidR="000A0CE4">
        <w:t xml:space="preserve"> und</w:t>
      </w:r>
      <w:r w:rsidR="00647DAC">
        <w:t xml:space="preserve"> 2 der </w:t>
      </w:r>
      <w:r w:rsidR="008F461D">
        <w:t>9. BImSchV).</w:t>
      </w:r>
    </w:p>
    <w:p w14:paraId="2C3930FA" w14:textId="77777777" w:rsidR="001311D3" w:rsidRDefault="00E73FD8" w:rsidP="001C3373">
      <w:pPr>
        <w:pStyle w:val="BW1Standard"/>
        <w:numPr>
          <w:ilvl w:val="0"/>
          <w:numId w:val="10"/>
        </w:numPr>
      </w:pPr>
      <w:r w:rsidRPr="00E73FD8">
        <w:t xml:space="preserve">Best-Practice: </w:t>
      </w:r>
      <w:proofErr w:type="spellStart"/>
      <w:r w:rsidR="001C3373" w:rsidRPr="00E73FD8">
        <w:t>TöB</w:t>
      </w:r>
      <w:proofErr w:type="spellEnd"/>
      <w:r w:rsidR="001C3373" w:rsidRPr="00E73FD8">
        <w:t xml:space="preserve">-Beteiligung mit zwei Fristen zur Vollständigkeit der Antragsunterlagen und zur Übermittlung der Stellungnahme; bei </w:t>
      </w:r>
      <w:r>
        <w:t>Fristüberschreitung</w:t>
      </w:r>
      <w:r w:rsidRPr="00E73FD8">
        <w:t xml:space="preserve"> </w:t>
      </w:r>
      <w:r w:rsidR="001C3373" w:rsidRPr="00E73FD8">
        <w:t>§ 10 Abs. 5 BImSchG</w:t>
      </w:r>
      <w:r w:rsidR="001311D3">
        <w:t xml:space="preserve"> </w:t>
      </w:r>
    </w:p>
    <w:p w14:paraId="44AE4437" w14:textId="55B2176A" w:rsidR="00647DAC" w:rsidRDefault="000A0CE4" w:rsidP="001C3373">
      <w:pPr>
        <w:pStyle w:val="BW1Standard"/>
        <w:numPr>
          <w:ilvl w:val="0"/>
          <w:numId w:val="10"/>
        </w:numPr>
      </w:pPr>
      <w:r w:rsidRPr="001C3373">
        <w:rPr>
          <w:b/>
        </w:rPr>
        <w:t xml:space="preserve">Unverzügliche </w:t>
      </w:r>
      <w:r w:rsidR="00647DAC" w:rsidRPr="001C3373">
        <w:rPr>
          <w:b/>
        </w:rPr>
        <w:t>Aufforderung zu</w:t>
      </w:r>
      <w:r w:rsidR="00A40818" w:rsidRPr="001C3373">
        <w:rPr>
          <w:b/>
        </w:rPr>
        <w:t>r</w:t>
      </w:r>
      <w:r w:rsidR="00647DAC" w:rsidRPr="001C3373">
        <w:rPr>
          <w:b/>
        </w:rPr>
        <w:t xml:space="preserve"> Ergänzung </w:t>
      </w:r>
      <w:r w:rsidRPr="001C3373">
        <w:rPr>
          <w:b/>
        </w:rPr>
        <w:t>des Antrags oder der Unterlagen</w:t>
      </w:r>
      <w:r w:rsidR="00647DAC">
        <w:t xml:space="preserve"> </w:t>
      </w:r>
      <w:r w:rsidR="00647DAC" w:rsidRPr="001C3373">
        <w:rPr>
          <w:b/>
        </w:rPr>
        <w:t>innerhalb einer angemessenen Frist</w:t>
      </w:r>
      <w:r w:rsidR="00647DAC">
        <w:t xml:space="preserve"> (§ 7 Abs. 1 S. 3 der 9. BImSchV).</w:t>
      </w:r>
    </w:p>
    <w:p w14:paraId="26413267" w14:textId="0267499C" w:rsidR="0018203B" w:rsidRDefault="0018203B" w:rsidP="003019D3">
      <w:pPr>
        <w:pStyle w:val="BW1Standard"/>
        <w:numPr>
          <w:ilvl w:val="0"/>
          <w:numId w:val="10"/>
        </w:numPr>
      </w:pPr>
      <w:r>
        <w:rPr>
          <w:b/>
        </w:rPr>
        <w:t xml:space="preserve">Vornahme von </w:t>
      </w:r>
      <w:r w:rsidR="008F461D" w:rsidRPr="008F461D">
        <w:rPr>
          <w:b/>
        </w:rPr>
        <w:t>Teilprüfungen</w:t>
      </w:r>
      <w:r w:rsidR="008F461D">
        <w:t xml:space="preserve"> </w:t>
      </w:r>
      <w:r>
        <w:t>bereits</w:t>
      </w:r>
      <w:r w:rsidR="008F461D">
        <w:t xml:space="preserve"> </w:t>
      </w:r>
      <w:r w:rsidR="008F461D" w:rsidRPr="008F461D">
        <w:rPr>
          <w:b/>
        </w:rPr>
        <w:t>vor Vorlage</w:t>
      </w:r>
      <w:r w:rsidR="008F461D">
        <w:t xml:space="preserve"> der vollständigen Unterlagen, soweit dies nach den bereits vorliegenden Unterlagen möglich ist (§ 7</w:t>
      </w:r>
      <w:r w:rsidR="00647DAC">
        <w:t xml:space="preserve"> Abs. 1 S</w:t>
      </w:r>
      <w:r>
        <w:t>atz 5</w:t>
      </w:r>
      <w:r w:rsidR="00647DAC">
        <w:t xml:space="preserve"> der 9. BImSchV</w:t>
      </w:r>
      <w:r w:rsidR="008F461D">
        <w:t xml:space="preserve">). </w:t>
      </w:r>
    </w:p>
    <w:p w14:paraId="76815012" w14:textId="6C70E07F" w:rsidR="0018203B" w:rsidRPr="001311D3" w:rsidRDefault="00CD71CD" w:rsidP="003019D3">
      <w:pPr>
        <w:pStyle w:val="BW1Standard"/>
        <w:numPr>
          <w:ilvl w:val="0"/>
          <w:numId w:val="10"/>
        </w:numPr>
      </w:pPr>
      <w:r w:rsidRPr="001311D3">
        <w:rPr>
          <w:b/>
          <w:bCs/>
        </w:rPr>
        <w:t>Im förmlichen</w:t>
      </w:r>
      <w:r w:rsidR="0018203B" w:rsidRPr="001311D3">
        <w:rPr>
          <w:b/>
          <w:bCs/>
        </w:rPr>
        <w:t xml:space="preserve"> </w:t>
      </w:r>
      <w:r w:rsidRPr="001311D3">
        <w:rPr>
          <w:b/>
          <w:bCs/>
        </w:rPr>
        <w:t>Genehmigungsv</w:t>
      </w:r>
      <w:r w:rsidR="0018203B" w:rsidRPr="001311D3">
        <w:rPr>
          <w:b/>
          <w:bCs/>
        </w:rPr>
        <w:t>erfahren</w:t>
      </w:r>
      <w:r w:rsidR="0018203B" w:rsidRPr="001311D3">
        <w:t>:</w:t>
      </w:r>
    </w:p>
    <w:p w14:paraId="6AAA68B9" w14:textId="7199EA20" w:rsidR="00A62084" w:rsidRPr="003A6E60" w:rsidRDefault="00A62084" w:rsidP="00A62084">
      <w:pPr>
        <w:pStyle w:val="BW1Standard"/>
        <w:numPr>
          <w:ilvl w:val="1"/>
          <w:numId w:val="10"/>
        </w:numPr>
        <w:rPr>
          <w:color w:val="1F497D"/>
        </w:rPr>
      </w:pPr>
      <w:r w:rsidRPr="00A62084">
        <w:t xml:space="preserve">Das Vorhaben ist gemäß § 10 Abs. 3 S. 1 BImSchG </w:t>
      </w:r>
      <w:proofErr w:type="spellStart"/>
      <w:r w:rsidRPr="00A62084">
        <w:t>i.V.m</w:t>
      </w:r>
      <w:proofErr w:type="spellEnd"/>
      <w:r w:rsidRPr="00A62084">
        <w:t>. § 9 Abs. 1 der 9. BImSchV im amtlichen Veröffent</w:t>
      </w:r>
      <w:r w:rsidRPr="00A62084">
        <w:softHyphen/>
        <w:t xml:space="preserve">lichungsblatt der Genehmigungsbehörde und </w:t>
      </w:r>
      <w:r w:rsidR="00071A3D">
        <w:t xml:space="preserve">auf </w:t>
      </w:r>
      <w:r w:rsidRPr="00A62084">
        <w:t>der Internet-Homepage der Genehmigungsbehörde bekannt zu machen, sobald die Antragsunterlagen formell vollständig sind.</w:t>
      </w:r>
    </w:p>
    <w:p w14:paraId="648C53FF" w14:textId="75B54989" w:rsidR="00A62084" w:rsidRPr="00EA1D51" w:rsidRDefault="00A62084" w:rsidP="00A62084">
      <w:pPr>
        <w:pStyle w:val="BW1Standard"/>
        <w:numPr>
          <w:ilvl w:val="1"/>
          <w:numId w:val="10"/>
        </w:numPr>
      </w:pPr>
      <w:r w:rsidRPr="00EA1D51">
        <w:t xml:space="preserve">Der Antrag und die beigefügten Unterlagen sind </w:t>
      </w:r>
      <w:r w:rsidRPr="00EA1D51">
        <w:rPr>
          <w:b/>
          <w:bCs/>
        </w:rPr>
        <w:t>einen Monat</w:t>
      </w:r>
      <w:r w:rsidRPr="00EA1D51">
        <w:t xml:space="preserve"> zur Einsicht auf der Internet-Homepage der Genehmigungsbehörde einzustellen (§ 10 Abs. 3 S. 2 BImSchG). </w:t>
      </w:r>
      <w:r w:rsidR="000170D0">
        <w:rPr>
          <w:rFonts w:eastAsia="Times New Roman"/>
        </w:rPr>
        <w:t>Beteiligte können die Zurverfügungstellung</w:t>
      </w:r>
      <w:r w:rsidRPr="00EA1D51">
        <w:rPr>
          <w:rFonts w:eastAsia="Times New Roman"/>
        </w:rPr>
        <w:t xml:space="preserve"> eine</w:t>
      </w:r>
      <w:r w:rsidR="000170D0">
        <w:rPr>
          <w:rFonts w:eastAsia="Times New Roman"/>
        </w:rPr>
        <w:t>s</w:t>
      </w:r>
      <w:r w:rsidRPr="00EA1D51">
        <w:rPr>
          <w:rFonts w:eastAsia="Times New Roman"/>
        </w:rPr>
        <w:t xml:space="preserve"> anderen, leicht zu erreichenden Zugang</w:t>
      </w:r>
      <w:r w:rsidR="00365A71">
        <w:rPr>
          <w:rFonts w:eastAsia="Times New Roman"/>
        </w:rPr>
        <w:t>s</w:t>
      </w:r>
      <w:r w:rsidRPr="00EA1D51">
        <w:rPr>
          <w:rFonts w:eastAsia="Times New Roman"/>
        </w:rPr>
        <w:t xml:space="preserve"> verlangen (zum Bei</w:t>
      </w:r>
      <w:r w:rsidRPr="00EA1D51">
        <w:rPr>
          <w:rFonts w:eastAsia="Times New Roman"/>
        </w:rPr>
        <w:softHyphen/>
        <w:t>spiel Einsicht in eine Papierfassung bei der Geneh</w:t>
      </w:r>
      <w:r w:rsidRPr="00EA1D51">
        <w:rPr>
          <w:rFonts w:eastAsia="Times New Roman"/>
        </w:rPr>
        <w:softHyphen/>
        <w:t>migungsbehörde oder Einsicht am Lesegerät, vgl. § 10 Abs. 1 S. 4 der 9. BImSchV).</w:t>
      </w:r>
    </w:p>
    <w:p w14:paraId="6FCAAACF" w14:textId="5A90E9E6" w:rsidR="0018203B" w:rsidRPr="00EA1D51" w:rsidRDefault="006B0F9F" w:rsidP="00A62084">
      <w:pPr>
        <w:pStyle w:val="BW1Standard"/>
        <w:numPr>
          <w:ilvl w:val="1"/>
          <w:numId w:val="10"/>
        </w:numPr>
      </w:pPr>
      <w:r w:rsidRPr="00EA1D51">
        <w:t>Zwischen öffentlicher Bekanntmachung und</w:t>
      </w:r>
      <w:r w:rsidRPr="00EA1D51">
        <w:rPr>
          <w:b/>
        </w:rPr>
        <w:t xml:space="preserve"> Auslegung </w:t>
      </w:r>
      <w:r w:rsidRPr="00EA1D51">
        <w:t xml:space="preserve">soll </w:t>
      </w:r>
      <w:r w:rsidRPr="00EA1D51">
        <w:rPr>
          <w:b/>
        </w:rPr>
        <w:t xml:space="preserve">eine Woche </w:t>
      </w:r>
      <w:r w:rsidRPr="00EA1D51">
        <w:t>liegen</w:t>
      </w:r>
      <w:r w:rsidRPr="00EA1D51">
        <w:rPr>
          <w:b/>
        </w:rPr>
        <w:t xml:space="preserve"> </w:t>
      </w:r>
      <w:r w:rsidRPr="00EA1D51">
        <w:t xml:space="preserve">(§ 9 Abs. 2 der 9. BImSchV). </w:t>
      </w:r>
    </w:p>
    <w:p w14:paraId="261B69A7" w14:textId="039B8301" w:rsidR="00A62084" w:rsidRPr="00EA1D51" w:rsidRDefault="00C14948" w:rsidP="00A62084">
      <w:pPr>
        <w:pStyle w:val="BW1Standard"/>
        <w:numPr>
          <w:ilvl w:val="1"/>
          <w:numId w:val="10"/>
        </w:numPr>
      </w:pPr>
      <w:r>
        <w:t>Ergänzende Informationen b</w:t>
      </w:r>
      <w:r w:rsidR="00A62084" w:rsidRPr="00EA1D51">
        <w:t xml:space="preserve">ezüglich der Auslegung des Antrags und der Unterlagen bei UVP-pflichtigen Anlagen in den Standortgemeinden siehe </w:t>
      </w:r>
      <w:hyperlink r:id="rId24" w:history="1">
        <w:r w:rsidR="00A62084" w:rsidRPr="00E83BF2">
          <w:rPr>
            <w:rStyle w:val="Hyperlink"/>
          </w:rPr>
          <w:t>LAI-Vollzugshinweise BImSchG-Novelle „Klimaschutz und Beschleuni</w:t>
        </w:r>
        <w:r w:rsidR="00A62084" w:rsidRPr="00E83BF2">
          <w:rPr>
            <w:rStyle w:val="Hyperlink"/>
          </w:rPr>
          <w:softHyphen/>
          <w:t>gung“, Stand: 5. März 2025</w:t>
        </w:r>
      </w:hyperlink>
      <w:r w:rsidR="00A62084" w:rsidRPr="00EA1D51">
        <w:t>, S. 25.</w:t>
      </w:r>
    </w:p>
    <w:p w14:paraId="09EE8F97" w14:textId="55E02D77" w:rsidR="007115D8" w:rsidRDefault="007115D8" w:rsidP="0018203B">
      <w:pPr>
        <w:pStyle w:val="BW1Standard"/>
        <w:numPr>
          <w:ilvl w:val="1"/>
          <w:numId w:val="10"/>
        </w:numPr>
      </w:pPr>
      <w:r w:rsidRPr="0018203B">
        <w:rPr>
          <w:b/>
        </w:rPr>
        <w:t>Einwendungen</w:t>
      </w:r>
      <w:r>
        <w:t xml:space="preserve"> können </w:t>
      </w:r>
      <w:r w:rsidRPr="0018203B">
        <w:rPr>
          <w:b/>
        </w:rPr>
        <w:t>bis 2 Wochen nach Ablauf der Auslegungsfrist</w:t>
      </w:r>
      <w:r>
        <w:t xml:space="preserve"> erhoben werden (</w:t>
      </w:r>
      <w:r w:rsidR="006B0F9F">
        <w:t xml:space="preserve">§ 10 Abs. 3 S. </w:t>
      </w:r>
      <w:r w:rsidR="00CD71CD">
        <w:t xml:space="preserve">8 </w:t>
      </w:r>
      <w:r w:rsidR="006B0F9F">
        <w:t>BImSchG</w:t>
      </w:r>
      <w:r>
        <w:t>).</w:t>
      </w:r>
      <w:r w:rsidR="00DF094E" w:rsidRPr="0018203B">
        <w:rPr>
          <w:rFonts w:eastAsia="Times New Roman"/>
          <w:color w:val="1F497D"/>
        </w:rPr>
        <w:t xml:space="preserve"> </w:t>
      </w:r>
      <w:r w:rsidR="00DF094E" w:rsidRPr="0018203B">
        <w:rPr>
          <w:rFonts w:eastAsia="Times New Roman"/>
        </w:rPr>
        <w:t>Bei UVP-pflichtigen Vorhaben beträgt die Einwendungsfrist einen Monat (§ 12 Abs. 1 Satz 2 der 9. BImSchV)</w:t>
      </w:r>
      <w:r w:rsidR="00667792" w:rsidRPr="0018203B">
        <w:rPr>
          <w:rFonts w:eastAsia="Times New Roman"/>
        </w:rPr>
        <w:t>.</w:t>
      </w:r>
    </w:p>
    <w:p w14:paraId="20074B3B" w14:textId="4FE341D9" w:rsidR="00C6648E" w:rsidRDefault="00C6648E" w:rsidP="003019D3">
      <w:pPr>
        <w:pStyle w:val="BW1Standard"/>
        <w:numPr>
          <w:ilvl w:val="0"/>
          <w:numId w:val="10"/>
        </w:numPr>
      </w:pPr>
      <w:r>
        <w:lastRenderedPageBreak/>
        <w:t xml:space="preserve">Eine </w:t>
      </w:r>
      <w:r w:rsidRPr="00C6648E">
        <w:rPr>
          <w:b/>
        </w:rPr>
        <w:t>Entscheidung</w:t>
      </w:r>
      <w:r>
        <w:t xml:space="preserve"> über </w:t>
      </w:r>
      <w:r w:rsidR="0018203B">
        <w:t>den Genehmigungsantrag</w:t>
      </w:r>
      <w:r>
        <w:t xml:space="preserve"> </w:t>
      </w:r>
      <w:r w:rsidR="00647DAC">
        <w:t>ist</w:t>
      </w:r>
      <w:r w:rsidR="00CA171B">
        <w:t xml:space="preserve"> ab dem Zeitpunkt der Vollständigkeit der Unterlagen</w:t>
      </w:r>
      <w:r w:rsidR="00647DAC">
        <w:t xml:space="preserve"> </w:t>
      </w:r>
      <w:r w:rsidR="00CA171B">
        <w:t xml:space="preserve">innerhalb von </w:t>
      </w:r>
      <w:r w:rsidRPr="00C6648E">
        <w:rPr>
          <w:b/>
        </w:rPr>
        <w:t>7</w:t>
      </w:r>
      <w:r>
        <w:rPr>
          <w:b/>
        </w:rPr>
        <w:t xml:space="preserve"> Monaten</w:t>
      </w:r>
      <w:r>
        <w:t xml:space="preserve"> bzw. </w:t>
      </w:r>
      <w:r w:rsidR="00CD71CD">
        <w:t xml:space="preserve">im </w:t>
      </w:r>
      <w:r w:rsidR="00CD71CD" w:rsidRPr="00C6648E">
        <w:rPr>
          <w:b/>
        </w:rPr>
        <w:t>vereinfachten Verfahren</w:t>
      </w:r>
      <w:r w:rsidRPr="00C6648E">
        <w:rPr>
          <w:b/>
        </w:rPr>
        <w:t xml:space="preserve"> </w:t>
      </w:r>
      <w:r w:rsidR="00CA171B">
        <w:t>innerhalb von</w:t>
      </w:r>
      <w:r w:rsidR="00CA171B" w:rsidRPr="00C6648E">
        <w:t xml:space="preserve"> </w:t>
      </w:r>
      <w:r w:rsidRPr="00C6648E">
        <w:rPr>
          <w:b/>
        </w:rPr>
        <w:t>3 Monaten</w:t>
      </w:r>
      <w:r w:rsidR="00CA171B">
        <w:rPr>
          <w:b/>
        </w:rPr>
        <w:t xml:space="preserve"> </w:t>
      </w:r>
      <w:r w:rsidR="00647DAC">
        <w:t>zu treffen</w:t>
      </w:r>
      <w:r>
        <w:t>, wobei eine</w:t>
      </w:r>
      <w:r w:rsidR="00DF79D2">
        <w:t xml:space="preserve"> einmalige</w:t>
      </w:r>
      <w:r>
        <w:t xml:space="preserve"> </w:t>
      </w:r>
      <w:r w:rsidRPr="00C6648E">
        <w:rPr>
          <w:b/>
        </w:rPr>
        <w:t xml:space="preserve">Verlängerung um </w:t>
      </w:r>
      <w:r w:rsidR="00911909">
        <w:rPr>
          <w:b/>
        </w:rPr>
        <w:t xml:space="preserve">bis zu </w:t>
      </w:r>
      <w:r w:rsidRPr="00C6648E">
        <w:rPr>
          <w:b/>
        </w:rPr>
        <w:t>3 Monate</w:t>
      </w:r>
      <w:r>
        <w:t xml:space="preserve"> </w:t>
      </w:r>
      <w:r w:rsidR="00DF79D2">
        <w:t>möglich ist, wenn dies wegen der Schwierigkeit der Prüfung oder aus Gründen, die dem Antragsteller zuzurechnen sind, erforderlich ist.</w:t>
      </w:r>
      <w:r w:rsidR="00A62084" w:rsidRPr="003A6E60">
        <w:rPr>
          <w:rStyle w:val="UM1StandardZchn"/>
        </w:rPr>
        <w:t xml:space="preserve"> Die Fristverlängerung ist gegenüber dem Antragsteller zu begründen. Eine weitere Verlängerung ist nur auf Antrag oder mit Zustimmung des Antragstellers möglich. </w:t>
      </w:r>
      <w:r w:rsidR="006B0F9F" w:rsidRPr="003A6E60">
        <w:rPr>
          <w:rStyle w:val="UM1StandardZchn"/>
        </w:rPr>
        <w:t>§ 10</w:t>
      </w:r>
      <w:r w:rsidR="006B0F9F">
        <w:t xml:space="preserve"> Abs. 6a BImSchG</w:t>
      </w:r>
      <w:r w:rsidR="00CA171B">
        <w:t>, § 7 Abs. 1 der 9. BImSchV</w:t>
      </w:r>
      <w:r w:rsidR="007115D8">
        <w:t>)</w:t>
      </w:r>
      <w:r>
        <w:t>.</w:t>
      </w:r>
    </w:p>
    <w:p w14:paraId="220701D5" w14:textId="3299F9A3" w:rsidR="002A53E7" w:rsidRDefault="00CA171B">
      <w:pPr>
        <w:pStyle w:val="BW1Standard"/>
        <w:numPr>
          <w:ilvl w:val="0"/>
          <w:numId w:val="10"/>
        </w:numPr>
        <w:ind w:left="321"/>
      </w:pPr>
      <w:r w:rsidRPr="00A91E51">
        <w:rPr>
          <w:b/>
          <w:bCs/>
        </w:rPr>
        <w:t xml:space="preserve">Zustellung des </w:t>
      </w:r>
      <w:r w:rsidR="00F25061" w:rsidRPr="00A91E51">
        <w:rPr>
          <w:b/>
          <w:bCs/>
        </w:rPr>
        <w:t>Genehmigungsbescheid</w:t>
      </w:r>
      <w:r w:rsidRPr="00A91E51">
        <w:rPr>
          <w:b/>
          <w:bCs/>
        </w:rPr>
        <w:t>s</w:t>
      </w:r>
      <w:r w:rsidR="00F25061">
        <w:t xml:space="preserve"> </w:t>
      </w:r>
      <w:r>
        <w:t>an den</w:t>
      </w:r>
      <w:r w:rsidR="00F25061" w:rsidRPr="00F25061">
        <w:t xml:space="preserve"> Antragsteller und </w:t>
      </w:r>
      <w:r>
        <w:t>die</w:t>
      </w:r>
      <w:r w:rsidRPr="00F25061">
        <w:t xml:space="preserve"> </w:t>
      </w:r>
      <w:r w:rsidR="00F25061" w:rsidRPr="00F25061">
        <w:t>Personen, die Einwendungen erhoben haben</w:t>
      </w:r>
      <w:r w:rsidR="00F25061">
        <w:t xml:space="preserve"> (§ 10 Abs. 7 </w:t>
      </w:r>
      <w:r w:rsidR="00DF79D2">
        <w:t xml:space="preserve">Satz 1 </w:t>
      </w:r>
      <w:r w:rsidR="00F25061">
        <w:t>BImSchG)</w:t>
      </w:r>
      <w:r>
        <w:t xml:space="preserve">; </w:t>
      </w:r>
      <w:r w:rsidR="000170D0">
        <w:t>d</w:t>
      </w:r>
      <w:r w:rsidR="000170D0" w:rsidRPr="00DF79D2">
        <w:t xml:space="preserve">er </w:t>
      </w:r>
      <w:r w:rsidR="00DF79D2" w:rsidRPr="00DF79D2">
        <w:t xml:space="preserve">Genehmigungsbescheid ist zudem gemäß § 10 Abs. 7 S. 2 BImSchG </w:t>
      </w:r>
      <w:r w:rsidR="00DF79D2" w:rsidRPr="00A91E51">
        <w:rPr>
          <w:b/>
          <w:bCs/>
        </w:rPr>
        <w:t>öffentlich bekanntzu</w:t>
      </w:r>
      <w:r w:rsidR="00DF79D2" w:rsidRPr="00A91E51">
        <w:rPr>
          <w:b/>
          <w:bCs/>
        </w:rPr>
        <w:softHyphen/>
        <w:t>machen</w:t>
      </w:r>
      <w:r w:rsidR="00DF79D2" w:rsidRPr="00DF79D2">
        <w:t xml:space="preserve"> (vgl. auch § 21a Abs. 1 der 9. BImSchV). Die </w:t>
      </w:r>
      <w:r w:rsidR="00DF79D2" w:rsidRPr="00A91E51">
        <w:rPr>
          <w:b/>
          <w:bCs/>
        </w:rPr>
        <w:t>öffentliche Bekanntmachung</w:t>
      </w:r>
      <w:r w:rsidR="00DF79D2" w:rsidRPr="00DF79D2">
        <w:t xml:space="preserve"> wird dadurch bewirkt, dass der verfügende Teil des Bescheids und die Rechtsbehelfsbelehrung sowie ein Hinweis auf Auflagen bekannt gemacht werden. Eine Aus</w:t>
      </w:r>
      <w:r w:rsidR="00DF79D2" w:rsidRPr="00DF79D2">
        <w:softHyphen/>
        <w:t xml:space="preserve">fertigung des gesamten Bescheides wird vom Tage nach der Bekanntmachung an für </w:t>
      </w:r>
      <w:r w:rsidR="00DF79D2" w:rsidRPr="00A91E51">
        <w:rPr>
          <w:b/>
          <w:bCs/>
        </w:rPr>
        <w:t>zwei Wochen</w:t>
      </w:r>
      <w:r w:rsidR="00DF79D2" w:rsidRPr="00DF79D2">
        <w:t xml:space="preserve"> zur Einsicht ausgelegt (vgl. § 10 Abs. 8 S. 2 ff </w:t>
      </w:r>
      <w:proofErr w:type="spellStart"/>
      <w:r w:rsidR="00DF79D2" w:rsidRPr="00DF79D2">
        <w:t>i.V.m</w:t>
      </w:r>
      <w:proofErr w:type="spellEnd"/>
      <w:r w:rsidR="00DF79D2" w:rsidRPr="00DF79D2">
        <w:t>. § 10 Abs. 7 S. 3 BImSchG). Die Auslegung wird dadurch bewirkt, dass der Genehmigungsbescheid ein</w:t>
      </w:r>
      <w:r w:rsidR="00DF79D2" w:rsidRPr="00DF79D2">
        <w:softHyphen/>
        <w:t>schließlich der im Bescheid in Bezug genommenen Antragsunterlagen auf einer Internetseite der zuständigen Behörde zugänglich gemacht werden, es sei denn, der Antragsteller hat der Veröffent</w:t>
      </w:r>
      <w:r w:rsidR="00DF79D2" w:rsidRPr="00DF79D2">
        <w:softHyphen/>
        <w:t>lichung im Internet widersprochen. Bis zum Ablauf der Widerspruchsfrist können Einwender den Genehmigungsbescheid und seine Begründung schriftlich oder elektronisch anfordern.</w:t>
      </w:r>
      <w:r w:rsidR="00DF79D2">
        <w:t xml:space="preserve"> </w:t>
      </w:r>
      <w:r w:rsidR="00DF79D2" w:rsidRPr="00DF79D2">
        <w:t xml:space="preserve">Bei UVP-pflichtigen Vorhaben ist die Genehmigung nach § 21a Abs. 2 S. 4 der 9. BImSchV </w:t>
      </w:r>
      <w:proofErr w:type="spellStart"/>
      <w:r w:rsidR="00DF79D2" w:rsidRPr="00DF79D2">
        <w:t>i.V.m</w:t>
      </w:r>
      <w:proofErr w:type="spellEnd"/>
      <w:r w:rsidR="006C4A32">
        <w:t>.</w:t>
      </w:r>
      <w:r w:rsidR="00DF79D2" w:rsidRPr="00DF79D2">
        <w:t xml:space="preserve"> § 10 Abs. 8a S. 1 und 2 BImSchG zusätzlich im Internet zur Verfügung zu stellen. Dies erfolgt über das zen</w:t>
      </w:r>
      <w:r w:rsidR="00DF79D2" w:rsidRPr="00DF79D2">
        <w:softHyphen/>
        <w:t xml:space="preserve">trale Internetportal des Landes. </w:t>
      </w:r>
    </w:p>
    <w:p w14:paraId="597AA7A3" w14:textId="77777777" w:rsidR="00A91E51" w:rsidRDefault="00A91E51" w:rsidP="00A91E51">
      <w:pPr>
        <w:pStyle w:val="BW1Standard"/>
        <w:ind w:left="321"/>
      </w:pPr>
    </w:p>
    <w:p w14:paraId="341451FA" w14:textId="12C7BE07" w:rsidR="000F1F53" w:rsidRPr="00E73FD8" w:rsidRDefault="00E73FD8" w:rsidP="000C26BF">
      <w:pPr>
        <w:pStyle w:val="UMberschrift2num-Arial-12pt"/>
      </w:pPr>
      <w:r w:rsidRPr="00E73FD8">
        <w:t>Ausgewählte fachrechtliche Anforderungen, die leicht aus dem Blick geraten</w:t>
      </w:r>
    </w:p>
    <w:p w14:paraId="337FDEEF" w14:textId="0423AB9F" w:rsidR="000F1F53" w:rsidRDefault="000F1F53" w:rsidP="000C26BF">
      <w:pPr>
        <w:pStyle w:val="UMberschrift3num-Arial-12pt"/>
        <w:rPr>
          <w:b w:val="0"/>
        </w:rPr>
      </w:pPr>
      <w:r w:rsidRPr="000C26BF">
        <w:t>Denkmalschutzrecht</w:t>
      </w:r>
    </w:p>
    <w:p w14:paraId="49A96DC9" w14:textId="310CC143" w:rsidR="000F1F53" w:rsidRDefault="000F1F53" w:rsidP="00EC0B15">
      <w:pPr>
        <w:pStyle w:val="BW1Standard"/>
        <w:ind w:left="850"/>
      </w:pPr>
    </w:p>
    <w:p w14:paraId="266EF96C" w14:textId="0BB11B3B" w:rsidR="00641D84" w:rsidRDefault="000F1F53" w:rsidP="00641D84">
      <w:pPr>
        <w:pStyle w:val="BW1Standard"/>
      </w:pPr>
      <w:r w:rsidRPr="00987C82">
        <w:t xml:space="preserve">Sind Kulturdenkmale (z. B. Baudenkmale oder archäologische Bodendenkmale) durch die Maßnahme betroffen, ist eine denkmalfachliche Prüfung erforderlich. Bei eingetragenen Kulturdenkmalen ist dabei insbesondere der erweiterte Schutzbereich des § 15 Abs. 3 S. 1 DSchG zu beachten, wonach eine bauliche Anlage in der Umgebung eines eingetragenen Kulturdenkmals, soweit diese für dessen Erscheinungsbild </w:t>
      </w:r>
      <w:r w:rsidRPr="00987C82">
        <w:lastRenderedPageBreak/>
        <w:t xml:space="preserve">von erheblicher Bedeutung ist, nur mit Genehmigung der Denkmalschutzbehörde errichtet, verändert oder beseitigt werden darf. Weiterhin </w:t>
      </w:r>
      <w:r w:rsidR="00CB4F12">
        <w:t>ist</w:t>
      </w:r>
      <w:r w:rsidR="00CB4F12" w:rsidRPr="00987C82">
        <w:t xml:space="preserve"> </w:t>
      </w:r>
      <w:r w:rsidRPr="00987C82">
        <w:t>den Vorgaben des § 15 Abs. 4 DSchG BW sowie des § 7 Abs. 2 S. 2 DSchG BW bei in "höchstem Maße raumwirksamen" Kulturdenkmalen Rechnung zu tragen. Bei UNESCO-Welterbe- sowie -</w:t>
      </w:r>
      <w:r w:rsidRPr="00CC5CED">
        <w:t>Tentativlistenstätten</w:t>
      </w:r>
      <w:r w:rsidRPr="00987C82">
        <w:t xml:space="preserve"> sind zusätzlich die Vorgaben der UNESCO zu beachten, die sich aus dem Übereinkommen zum Schutz des Kultur- und Naturerbes der Welt (World Heritage Convention; abrufbar unter: https://whc.unesco.org/en/convention/) und deren Durchführungs-Richtlinien (Operational Guidelines </w:t>
      </w:r>
      <w:proofErr w:type="spellStart"/>
      <w:r w:rsidRPr="00987C82">
        <w:t>for</w:t>
      </w:r>
      <w:proofErr w:type="spellEnd"/>
      <w:r w:rsidRPr="00987C82">
        <w:t xml:space="preserve"> </w:t>
      </w:r>
      <w:proofErr w:type="spellStart"/>
      <w:r w:rsidRPr="00987C82">
        <w:t>the</w:t>
      </w:r>
      <w:proofErr w:type="spellEnd"/>
      <w:r w:rsidRPr="00987C82">
        <w:t xml:space="preserve"> Implementation </w:t>
      </w:r>
      <w:proofErr w:type="spellStart"/>
      <w:r w:rsidRPr="00987C82">
        <w:t>of</w:t>
      </w:r>
      <w:proofErr w:type="spellEnd"/>
      <w:r w:rsidRPr="00987C82">
        <w:t xml:space="preserve"> </w:t>
      </w:r>
      <w:proofErr w:type="spellStart"/>
      <w:r w:rsidRPr="00987C82">
        <w:t>the</w:t>
      </w:r>
      <w:proofErr w:type="spellEnd"/>
      <w:r w:rsidRPr="00987C82">
        <w:t xml:space="preserve"> World Heritage Convention; abrufbar unter: https://whc.unesco.org/en/guidelines/) ergeben. Die UNESCO stellt Informationen zum Umgang mit Windenergieprojekten im </w:t>
      </w:r>
      <w:proofErr w:type="spellStart"/>
      <w:r w:rsidRPr="00987C82">
        <w:t>Welterbekontext</w:t>
      </w:r>
      <w:proofErr w:type="spellEnd"/>
      <w:r w:rsidRPr="00987C82">
        <w:t xml:space="preserve"> zur Verfügung (</w:t>
      </w:r>
      <w:r w:rsidR="00641D84">
        <w:t xml:space="preserve">World Heritage and </w:t>
      </w:r>
      <w:proofErr w:type="spellStart"/>
      <w:r w:rsidR="00641D84">
        <w:t>Renewable</w:t>
      </w:r>
      <w:proofErr w:type="spellEnd"/>
      <w:r w:rsidR="00641D84">
        <w:t xml:space="preserve"> Energy:</w:t>
      </w:r>
    </w:p>
    <w:p w14:paraId="1CC64231" w14:textId="1BE2CDB9" w:rsidR="000F1F53" w:rsidRDefault="00641D84" w:rsidP="00641D84">
      <w:pPr>
        <w:pStyle w:val="BW1Standard"/>
      </w:pPr>
      <w:r w:rsidRPr="0039705B">
        <w:rPr>
          <w:lang w:val="en-GB"/>
        </w:rPr>
        <w:t xml:space="preserve">Guidance </w:t>
      </w:r>
      <w:r w:rsidRPr="00CD331E">
        <w:rPr>
          <w:lang w:val="en-GB"/>
        </w:rPr>
        <w:t>on</w:t>
      </w:r>
      <w:r w:rsidRPr="0039705B">
        <w:rPr>
          <w:lang w:val="en-GB"/>
        </w:rPr>
        <w:t xml:space="preserve"> Wind </w:t>
      </w:r>
      <w:r w:rsidRPr="00CD331E">
        <w:rPr>
          <w:lang w:val="en-GB"/>
        </w:rPr>
        <w:t xml:space="preserve">and Solar </w:t>
      </w:r>
      <w:r w:rsidRPr="0039705B">
        <w:rPr>
          <w:lang w:val="en-GB"/>
        </w:rPr>
        <w:t xml:space="preserve">Energy Projects in a World Heritage </w:t>
      </w:r>
      <w:proofErr w:type="gramStart"/>
      <w:r w:rsidRPr="0039705B">
        <w:rPr>
          <w:lang w:val="en-GB"/>
        </w:rPr>
        <w:t>Context</w:t>
      </w:r>
      <w:r w:rsidRPr="00CD331E">
        <w:rPr>
          <w:lang w:val="en-GB"/>
        </w:rPr>
        <w:t xml:space="preserve"> </w:t>
      </w:r>
      <w:r w:rsidR="000F1F53" w:rsidRPr="0039705B">
        <w:rPr>
          <w:lang w:val="en-GB"/>
        </w:rPr>
        <w:t>;</w:t>
      </w:r>
      <w:proofErr w:type="gramEnd"/>
      <w:r w:rsidR="000F1F53" w:rsidRPr="0039705B">
        <w:rPr>
          <w:lang w:val="en-GB"/>
        </w:rPr>
        <w:t xml:space="preserve"> </w:t>
      </w:r>
      <w:proofErr w:type="spellStart"/>
      <w:r w:rsidR="000F1F53" w:rsidRPr="0039705B">
        <w:rPr>
          <w:lang w:val="en-GB"/>
        </w:rPr>
        <w:t>abrufbar</w:t>
      </w:r>
      <w:proofErr w:type="spellEnd"/>
      <w:r w:rsidR="000F1F53" w:rsidRPr="0039705B">
        <w:rPr>
          <w:lang w:val="en-GB"/>
        </w:rPr>
        <w:t xml:space="preserve"> </w:t>
      </w:r>
      <w:proofErr w:type="spellStart"/>
      <w:r w:rsidR="000F1F53" w:rsidRPr="0039705B">
        <w:rPr>
          <w:lang w:val="en-GB"/>
        </w:rPr>
        <w:t>unter</w:t>
      </w:r>
      <w:proofErr w:type="spellEnd"/>
      <w:r w:rsidR="000F1F53" w:rsidRPr="0039705B">
        <w:rPr>
          <w:lang w:val="en-GB"/>
        </w:rPr>
        <w:t xml:space="preserve">: </w:t>
      </w:r>
      <w:r w:rsidRPr="0039705B">
        <w:rPr>
          <w:lang w:val="en-GB"/>
        </w:rPr>
        <w:t>https://whc.unesco.org/en/</w:t>
      </w:r>
      <w:r w:rsidRPr="00641D84">
        <w:rPr>
          <w:lang w:val="en-GB"/>
        </w:rPr>
        <w:t>renewable</w:t>
      </w:r>
      <w:r w:rsidRPr="0039705B">
        <w:rPr>
          <w:lang w:val="en-GB"/>
        </w:rPr>
        <w:t>-energy</w:t>
      </w:r>
      <w:r w:rsidRPr="00641D84">
        <w:rPr>
          <w:lang w:val="en-GB"/>
        </w:rPr>
        <w:t>/</w:t>
      </w:r>
      <w:r w:rsidR="000F1F53" w:rsidRPr="00CD331E">
        <w:rPr>
          <w:lang w:val="en-GB"/>
        </w:rPr>
        <w:t>).</w:t>
      </w:r>
      <w:r w:rsidR="000F1F53" w:rsidRPr="0039705B">
        <w:rPr>
          <w:lang w:val="en-GB"/>
        </w:rPr>
        <w:t xml:space="preserve"> </w:t>
      </w:r>
      <w:r w:rsidR="000F1F53" w:rsidRPr="00987C82">
        <w:t xml:space="preserve">Sollte sich bei der Prüfung von Planungsunterlagen herausstellen, dass eine Welterbestätte durch ein Vorhaben beeinträchtigt werden könnte, müsste eine Prüfung des Vorhabens im Rahmen einer standardisierten </w:t>
      </w:r>
      <w:proofErr w:type="spellStart"/>
      <w:r w:rsidR="000F1F53" w:rsidRPr="00987C82">
        <w:t>Kulturerbeverträglichkeitsprüfung</w:t>
      </w:r>
      <w:proofErr w:type="spellEnd"/>
      <w:r w:rsidR="000F1F53" w:rsidRPr="00987C82">
        <w:t xml:space="preserve"> erfolgen (Heritage Impact Assessment; Erläuterung abrufbar unter: https://whc.unesco.org/en/guidance-toolkit</w:t>
      </w:r>
      <w:r w:rsidR="009616CF">
        <w:t>-</w:t>
      </w:r>
      <w:r w:rsidR="000F1F53" w:rsidRPr="00987C82">
        <w:t>impact-assessments/). Für Nachfragen und Abstimmungen der Anforderungen und Prüfungen im jeweiligen Einzelfall wenden Sie sich an den Denkmalberater Windenergie, Herrn Dr. Martin Hahn (Martin.Hahn@rps.bwl.de), der allen Behörden, Projektierern, Planungsträgern und weiteren am Ausbau der Windenergie Beteiligten im LAD als landesweit einheitlicher und zentraler Ansprechpartner für denkmalfachliche Fragen bei Windenergieplanungen und -projekten zur Verfügung steht.</w:t>
      </w:r>
    </w:p>
    <w:p w14:paraId="0247CF43" w14:textId="77777777" w:rsidR="000F1F53" w:rsidRPr="000F1F53" w:rsidRDefault="000F1F53" w:rsidP="00EC0B15">
      <w:pPr>
        <w:pStyle w:val="BW1Standard"/>
      </w:pPr>
    </w:p>
    <w:p w14:paraId="44926443" w14:textId="24078315" w:rsidR="000F1F53" w:rsidRDefault="000F1F53" w:rsidP="000C26BF">
      <w:pPr>
        <w:pStyle w:val="UMberschrift3num-Arial-12pt"/>
      </w:pPr>
      <w:r>
        <w:t>Bodenschutzrecht</w:t>
      </w:r>
    </w:p>
    <w:p w14:paraId="70CDB63D" w14:textId="1989E493" w:rsidR="000F1F53" w:rsidRDefault="000F1F53" w:rsidP="000F1F53">
      <w:pPr>
        <w:pStyle w:val="BW1Standard"/>
      </w:pPr>
    </w:p>
    <w:p w14:paraId="13F0AA9C" w14:textId="66886197" w:rsidR="000F1F53" w:rsidRDefault="000F1F53" w:rsidP="00AC7666">
      <w:pPr>
        <w:pStyle w:val="BW1Standard"/>
      </w:pPr>
      <w:r w:rsidRPr="00987C82">
        <w:t>Bei Vorhaben, die auf einer Fläche von mehr als 0,5 ha auf den Boden einwirken, sind bei Antragstellung grundsätzlich möglichst aussagekräftige Unterlagen vorzulegen, die sich zu allen relevanten Aspekten der Auswirkungen eines Vorhabens auf das Schutzgut Boden sowie zu Vermeidungs- und Minimierungsmaßnahmen (z. B. Vermeidung von Verdichtungen und Schadstoffeinträgen, Umgang mit Erdüberschussmassen) verhalten. Zum Zeitpunkt der Genehmigungsentscheidung muss regelmäßig ein Bodenschutzkonzept vorgelegt und geprüft sein. In diesem sind die jeweiligen vom Standort und Vorhaben abhängigen Erfordernisse zum Schutz des Bo</w:t>
      </w:r>
      <w:r w:rsidRPr="00987C82">
        <w:lastRenderedPageBreak/>
        <w:t xml:space="preserve">dens auf der Grundlage des aktuell geltenden Bodenschutzrechts und der bestehenden bodenbezogenen Normen und Vollzugshilfen (derzeit insbesondere DIN 19639, 18915 und 19731 sowie Vollzugshilfe der Bund/Länder-Arbeitsgemeinschaft Bodenschutz (LABO) zu §§ 6 - 8 </w:t>
      </w:r>
      <w:proofErr w:type="spellStart"/>
      <w:r w:rsidRPr="00987C82">
        <w:t>BBodSchV</w:t>
      </w:r>
      <w:proofErr w:type="spellEnd"/>
      <w:r w:rsidRPr="00987C82">
        <w:t>) darzustellen</w:t>
      </w:r>
      <w:r>
        <w:t>.</w:t>
      </w:r>
    </w:p>
    <w:p w14:paraId="63594FAE" w14:textId="77777777" w:rsidR="00AC7666" w:rsidRPr="00AC7666" w:rsidRDefault="00AC7666" w:rsidP="00EC0B15">
      <w:pPr>
        <w:pStyle w:val="BW1Standard"/>
      </w:pPr>
    </w:p>
    <w:p w14:paraId="2C0AB833" w14:textId="4F176255" w:rsidR="00EC3160" w:rsidRDefault="000F1F53" w:rsidP="000C26BF">
      <w:pPr>
        <w:pStyle w:val="UMberschrift3num-Arial-12pt"/>
      </w:pPr>
      <w:bookmarkStart w:id="5" w:name="_Hlk227600726"/>
      <w:r>
        <w:t>Baurecht</w:t>
      </w:r>
    </w:p>
    <w:bookmarkEnd w:id="5"/>
    <w:p w14:paraId="7E354C15" w14:textId="77777777" w:rsidR="00EC3160" w:rsidRPr="00EC3160" w:rsidRDefault="00EC3160" w:rsidP="00EC0B15">
      <w:pPr>
        <w:pStyle w:val="UM1Standard"/>
      </w:pPr>
    </w:p>
    <w:p w14:paraId="218D6FA7" w14:textId="77777777" w:rsidR="0047718E" w:rsidRDefault="00E43953" w:rsidP="0039705B">
      <w:pPr>
        <w:pStyle w:val="UM1Standard"/>
        <w:numPr>
          <w:ilvl w:val="0"/>
          <w:numId w:val="71"/>
        </w:numPr>
      </w:pPr>
      <w:r>
        <w:t xml:space="preserve">Bauordnungsrecht </w:t>
      </w:r>
    </w:p>
    <w:p w14:paraId="2994A771" w14:textId="76A7E1C6" w:rsidR="00C11821" w:rsidRDefault="009524EF" w:rsidP="0047718E">
      <w:pPr>
        <w:pStyle w:val="UM1Standard"/>
      </w:pPr>
      <w:r>
        <w:t>Im Zuge der behördlichen Prüfung, ob bauordnungsrechtliche Vorschriften der Errichtung und dem Betrieb der WEA entgegenstehen, ist zwischen WEAs sowie Teilen von WEAs,</w:t>
      </w:r>
      <w:r w:rsidRPr="00A667B2">
        <w:t xml:space="preserve"> </w:t>
      </w:r>
      <w:r>
        <w:t>für die die Konformität mit den Anforderungen der Richtlinie 2006/42/EG (</w:t>
      </w:r>
      <w:r w:rsidRPr="00A667B2">
        <w:t>Maschinenrichtlinie</w:t>
      </w:r>
      <w:r>
        <w:t>) durch eine Konformitätserklärung und ein CE-Zeichen nachgewiesen ist</w:t>
      </w:r>
      <w:r w:rsidR="00826E03">
        <w:t>,</w:t>
      </w:r>
      <w:r>
        <w:t xml:space="preserve"> und Teilen von WEAs, </w:t>
      </w:r>
      <w:r w:rsidRPr="00A667B2">
        <w:t>die nicht als Bestandteil der Maschine nach der Maschinenrichtlinie einzustufen sind</w:t>
      </w:r>
      <w:r>
        <w:t>, zu unterscheiden.</w:t>
      </w:r>
      <w:r w:rsidR="00C11821">
        <w:t xml:space="preserve"> Hierbei muss aus einer Konformitätserklärung eindeutig hervorgehen, welche Teile der WEA von der Erklärung erfasst werden.</w:t>
      </w:r>
    </w:p>
    <w:p w14:paraId="4C7EF22E" w14:textId="77777777" w:rsidR="009524EF" w:rsidRDefault="009524EF" w:rsidP="009524EF">
      <w:pPr>
        <w:pStyle w:val="UM1Standard"/>
      </w:pPr>
    </w:p>
    <w:p w14:paraId="3D1DA0D5" w14:textId="6A415CF2" w:rsidR="009524EF" w:rsidRDefault="005920E5" w:rsidP="0047718E">
      <w:pPr>
        <w:pStyle w:val="UM1Standard"/>
      </w:pPr>
      <w:r>
        <w:t>Der</w:t>
      </w:r>
      <w:r w:rsidR="009524EF" w:rsidRPr="00A667B2">
        <w:t xml:space="preserve"> Nachweis </w:t>
      </w:r>
      <w:r w:rsidR="009524EF">
        <w:t>der</w:t>
      </w:r>
      <w:r w:rsidR="009524EF" w:rsidRPr="00A667B2">
        <w:t xml:space="preserve"> Erfüllung der grundlegenden Sicherheits- und Gesundheitsschutz</w:t>
      </w:r>
      <w:r w:rsidR="009524EF">
        <w:t>anforderungen bzw. allgemeinen (bauordnungsrechtlichen) A</w:t>
      </w:r>
      <w:r w:rsidR="009524EF" w:rsidRPr="00A667B2">
        <w:t xml:space="preserve">nforderungen </w:t>
      </w:r>
      <w:r w:rsidR="009524EF">
        <w:t>(</w:t>
      </w:r>
      <w:r w:rsidR="009524EF" w:rsidRPr="00A667B2">
        <w:t>einschließlich der Standsicherheit</w:t>
      </w:r>
      <w:r w:rsidR="009524EF">
        <w:t>)</w:t>
      </w:r>
      <w:r w:rsidR="009524EF" w:rsidRPr="00A667B2">
        <w:t xml:space="preserve"> </w:t>
      </w:r>
      <w:r>
        <w:t>von</w:t>
      </w:r>
      <w:r w:rsidR="009524EF">
        <w:t xml:space="preserve"> WEAs und Teilen </w:t>
      </w:r>
      <w:r>
        <w:t>von</w:t>
      </w:r>
      <w:r w:rsidR="009524EF">
        <w:t xml:space="preserve"> WEAs, die in den Anwendungsbereich der Maschinenrichtlinie fallen, </w:t>
      </w:r>
      <w:r>
        <w:t>erfolgt über</w:t>
      </w:r>
      <w:r w:rsidR="00CD7039">
        <w:t xml:space="preserve"> </w:t>
      </w:r>
      <w:r w:rsidR="009524EF">
        <w:t xml:space="preserve">die </w:t>
      </w:r>
      <w:r w:rsidR="009524EF" w:rsidRPr="00A667B2">
        <w:t>Konformitäts</w:t>
      </w:r>
      <w:r w:rsidR="009524EF">
        <w:t>erklärung</w:t>
      </w:r>
      <w:r w:rsidR="009524EF" w:rsidRPr="00A667B2">
        <w:t xml:space="preserve"> und CE-Kennzeichnung</w:t>
      </w:r>
      <w:r>
        <w:t>. Diese sind</w:t>
      </w:r>
      <w:r w:rsidR="00CD7039">
        <w:t xml:space="preserve"> den Antragsunterlagen beizufügen</w:t>
      </w:r>
      <w:r w:rsidR="009524EF">
        <w:t xml:space="preserve">. </w:t>
      </w:r>
      <w:r w:rsidR="00C11821">
        <w:t xml:space="preserve">Für solche WEAs bzw. Teile von WEAs </w:t>
      </w:r>
      <w:r w:rsidR="009524EF">
        <w:t>dürfen keine</w:t>
      </w:r>
      <w:r w:rsidR="009524EF" w:rsidRPr="00A667B2">
        <w:t xml:space="preserve"> zusätzliche</w:t>
      </w:r>
      <w:r w:rsidR="009524EF">
        <w:t>n</w:t>
      </w:r>
      <w:r w:rsidR="009524EF" w:rsidRPr="00A667B2">
        <w:t>, z.</w:t>
      </w:r>
      <w:r w:rsidR="009524EF">
        <w:t> </w:t>
      </w:r>
      <w:r w:rsidR="009524EF" w:rsidRPr="00A667B2">
        <w:t>B. bau</w:t>
      </w:r>
      <w:r w:rsidR="009524EF">
        <w:t>technis</w:t>
      </w:r>
      <w:r w:rsidR="009524EF" w:rsidRPr="00A667B2">
        <w:t>che</w:t>
      </w:r>
      <w:r w:rsidR="009524EF">
        <w:t>n</w:t>
      </w:r>
      <w:r w:rsidR="009524EF" w:rsidRPr="00A667B2">
        <w:t xml:space="preserve"> Nachweis</w:t>
      </w:r>
      <w:r w:rsidR="009524EF">
        <w:t>e</w:t>
      </w:r>
      <w:r w:rsidR="009524EF" w:rsidRPr="00A667B2">
        <w:t xml:space="preserve"> verlangt werden</w:t>
      </w:r>
      <w:r w:rsidR="009524EF">
        <w:t xml:space="preserve">. </w:t>
      </w:r>
    </w:p>
    <w:p w14:paraId="34AFE837" w14:textId="77777777" w:rsidR="009524EF" w:rsidRDefault="009524EF" w:rsidP="009524EF">
      <w:pPr>
        <w:pStyle w:val="UM1Standard"/>
      </w:pPr>
    </w:p>
    <w:p w14:paraId="5B6C61D7" w14:textId="017B2EFB" w:rsidR="009524EF" w:rsidRDefault="009524EF" w:rsidP="0047718E">
      <w:pPr>
        <w:pStyle w:val="UM1Standard"/>
      </w:pPr>
      <w:r>
        <w:t>Für Teile der WEA, die nicht in den Anwendungsbereich der Maschinenrichtlinie fallen, sind der Genehmigungsbehörde entsprechende bautechnische Nachweise (</w:t>
      </w:r>
      <w:bookmarkStart w:id="6" w:name="_Hlk226616366"/>
      <w:r>
        <w:t xml:space="preserve">Standsicherheitsnachweise unter Berücksichtigung der Anforderungen des Brandschutzes </w:t>
      </w:r>
      <w:proofErr w:type="gramStart"/>
      <w:r>
        <w:t>an tragende</w:t>
      </w:r>
      <w:proofErr w:type="gramEnd"/>
      <w:r>
        <w:t xml:space="preserve"> Bauteile</w:t>
      </w:r>
      <w:bookmarkEnd w:id="6"/>
      <w:r>
        <w:t xml:space="preserve">) vorzulegen. </w:t>
      </w:r>
    </w:p>
    <w:p w14:paraId="67F26978" w14:textId="77777777" w:rsidR="009524EF" w:rsidRDefault="009524EF" w:rsidP="009524EF">
      <w:pPr>
        <w:pStyle w:val="UM1Standard"/>
      </w:pPr>
    </w:p>
    <w:p w14:paraId="2C93EABD" w14:textId="02A13431" w:rsidR="002C2ACB" w:rsidRDefault="002562D0" w:rsidP="0039705B">
      <w:pPr>
        <w:pStyle w:val="UM1Standard"/>
        <w:numPr>
          <w:ilvl w:val="0"/>
          <w:numId w:val="71"/>
        </w:numPr>
      </w:pPr>
      <w:r w:rsidRPr="00C11821">
        <w:t>Rückbauverpflichtung</w:t>
      </w:r>
    </w:p>
    <w:p w14:paraId="4755D47D" w14:textId="4EFBCA7D" w:rsidR="00EC3160" w:rsidRPr="00EC3160" w:rsidRDefault="00EC3160" w:rsidP="0047718E">
      <w:pPr>
        <w:pStyle w:val="UM1Standard"/>
      </w:pPr>
      <w:r w:rsidRPr="00EC3160">
        <w:t xml:space="preserve">Die Errichtung, der Ersatz einer </w:t>
      </w:r>
      <w:r w:rsidR="00376D6E">
        <w:t>bestehenden</w:t>
      </w:r>
      <w:r w:rsidRPr="00EC3160">
        <w:t xml:space="preserve"> Windenergieanlage durch eine neue (</w:t>
      </w:r>
      <w:proofErr w:type="spellStart"/>
      <w:r w:rsidRPr="00EC3160">
        <w:t>Repowering</w:t>
      </w:r>
      <w:proofErr w:type="spellEnd"/>
      <w:r w:rsidRPr="00EC3160">
        <w:t xml:space="preserve">) oder die sonstige Änderung einer Windenergieanlage ist nur zulässig, wenn eine Verpflichtungserklärung abgegeben wird, das Vorhaben nach dauerhafter </w:t>
      </w:r>
      <w:r w:rsidRPr="00EC3160">
        <w:lastRenderedPageBreak/>
        <w:t>Aufgabe der zulässigen Nutzung zurückzubauen und Bodenversiegelunge</w:t>
      </w:r>
      <w:r>
        <w:t>n zu beseitigen (§ 35 Abs. 5 Satz 2 BauGB).</w:t>
      </w:r>
      <w:r w:rsidRPr="00602DFD">
        <w:t> </w:t>
      </w:r>
      <w:r w:rsidRPr="00EC3160">
        <w:t>Zurückzubauen sind grundsätzlich alle ober- und unterirdischen Anlagen und Anlagenteile (einschließlich der vollständigen Fundamente) sowie die für die Anlage dienende Infrastruktur, die mit der dauerhaften Nutzungsaufgabe der Windenergieanlage ihren Nutzen verliert, beispielsweise die zugehörigen Nebenanlagen wie Leitungen, Wege und Plätze und sonstige versiegelte Flächen. Die durch die Anlage bedingte Bodenversiegelung ist so zu beseitigen, dass der Versiegelungseffekt, der z.B. das Versickern von Niederschlagswasser beeinträchtigt oder behindert, nicht mehr besteht</w:t>
      </w:r>
      <w:r w:rsidR="00693834">
        <w:t>. D</w:t>
      </w:r>
      <w:r w:rsidRPr="00EC0B15">
        <w:t>ie Verpflichtungserklärung ist durch diejenige Person abzugeben, die den Antrag auf Genehmigung der Windenergieanlage gestellt hat.</w:t>
      </w:r>
    </w:p>
    <w:p w14:paraId="3026B02D" w14:textId="77777777" w:rsidR="00EC3160" w:rsidRPr="00EC0B15" w:rsidRDefault="00EC3160" w:rsidP="0039705B">
      <w:pPr>
        <w:pStyle w:val="UM1Standard"/>
        <w:ind w:left="357"/>
      </w:pPr>
    </w:p>
    <w:p w14:paraId="0DD721D4" w14:textId="77777777" w:rsidR="00C852FA" w:rsidRDefault="00EC3160" w:rsidP="0047718E">
      <w:pPr>
        <w:pStyle w:val="UM1Standard"/>
      </w:pPr>
      <w:r w:rsidRPr="00EC0B15">
        <w:t>Ferner soll die Genehmigungsbehörde durch Baulast oder in anderer Weise die Einhaltung der Rückbauverpflichtung sicherstellen; § </w:t>
      </w:r>
      <w:hyperlink r:id="rId25" w:history="1">
        <w:r w:rsidRPr="00EC0B15">
          <w:rPr>
            <w:rStyle w:val="Hyperlink"/>
            <w:color w:val="auto"/>
            <w:u w:val="none"/>
          </w:rPr>
          <w:t>35</w:t>
        </w:r>
      </w:hyperlink>
      <w:r w:rsidRPr="00EC0B15">
        <w:t> Abs. </w:t>
      </w:r>
      <w:hyperlink r:id="rId26" w:history="1">
        <w:r w:rsidRPr="00EC0B15">
          <w:rPr>
            <w:rStyle w:val="Hyperlink"/>
            <w:color w:val="auto"/>
            <w:u w:val="none"/>
          </w:rPr>
          <w:t>5</w:t>
        </w:r>
      </w:hyperlink>
      <w:r w:rsidRPr="00EC0B15">
        <w:t> S. 3 BauGB. Als Möglichkeiten zur Sicherstellung kommen neben der Baulast insbesondere Grundpfandrechte (Grundschuld, Hypothek) und andere Sicherheitsleistungen im engeren Sinne wie beispielsweise Bankbürgschaften, Hinterlegung oder Verpfändung in Betracht. Die Genehmigungsbehörde entscheidet nach pflichtgemäßem Ermessen und unter Berücksichtigung aller Umstände des Einzelfalles, welches der Sicherungsmittel das geeignetste ist. Beabsichtigt sie eine Sicherung der Kostenerstattung für eine eventuell notwendig werdende Ersatzvornahme, wird sie als Sicherungsmittel eine Sicherheitsleistung im engeren Sinne auswählen</w:t>
      </w:r>
      <w:r w:rsidR="00C852FA">
        <w:t>.</w:t>
      </w:r>
    </w:p>
    <w:p w14:paraId="045F988E" w14:textId="77777777" w:rsidR="00C852FA" w:rsidRDefault="00C852FA" w:rsidP="0039705B">
      <w:pPr>
        <w:pStyle w:val="UM1Standard"/>
        <w:ind w:left="357"/>
      </w:pPr>
    </w:p>
    <w:p w14:paraId="50E0618A" w14:textId="1F71F2E5" w:rsidR="00E43953" w:rsidRDefault="00E43953" w:rsidP="0047718E">
      <w:pPr>
        <w:pStyle w:val="UM1Standard"/>
      </w:pPr>
      <w:r w:rsidRPr="00E43953">
        <w:t>Die Höhe der Sicherheitsleistung orientiert sich an den voraussichtlichen Kosten, die für den Rückbau der Anlage und die Beseitigung der Bodenversiegelung aufzuwenden sind.</w:t>
      </w:r>
      <w:r w:rsidR="001D3A74" w:rsidRPr="001D3A74">
        <w:t xml:space="preserve"> </w:t>
      </w:r>
      <w:r w:rsidRPr="00E43953">
        <w:t xml:space="preserve">Hierzu legt der Antragsteller eine Kalkulation vor, in die z.B. die Kosten für die Demontage, die Kranarbeiten, Transport- und Entsorgungskosten eingehen. Die Kalkulation wird von </w:t>
      </w:r>
      <w:r w:rsidR="001D3A74">
        <w:t>de</w:t>
      </w:r>
      <w:r w:rsidR="004279F4">
        <w:t>r</w:t>
      </w:r>
      <w:r w:rsidR="001D3A74">
        <w:t xml:space="preserve"> Genehmigungsbehörde </w:t>
      </w:r>
      <w:r w:rsidRPr="00E43953">
        <w:t>in Abstimmung mit der Baurechtsbehörde auf Plausibilität geprüft und ggf. angepasst. Alternativ kann anhand des gegebenen Volumens der Anlage</w:t>
      </w:r>
      <w:r w:rsidRPr="00E43953" w:rsidDel="0022011C">
        <w:t xml:space="preserve"> </w:t>
      </w:r>
      <w:r w:rsidRPr="00E43953">
        <w:t xml:space="preserve">auch aufgrund behördlicher Sachkenntnis </w:t>
      </w:r>
      <w:r w:rsidR="001D3A74">
        <w:t>ab</w:t>
      </w:r>
      <w:r w:rsidR="0022011C">
        <w:t>ge</w:t>
      </w:r>
      <w:r w:rsidR="001D3A74">
        <w:t>schätz</w:t>
      </w:r>
      <w:r w:rsidR="0022011C">
        <w:t>t</w:t>
      </w:r>
      <w:r w:rsidRPr="00E43953">
        <w:t xml:space="preserve"> werden, wie hoch die Rückbaukosten sein müssen.</w:t>
      </w:r>
    </w:p>
    <w:p w14:paraId="7F9603D1" w14:textId="77777777" w:rsidR="00A50FE0" w:rsidRDefault="00A50FE0" w:rsidP="00E43953">
      <w:pPr>
        <w:pStyle w:val="UM1Standard"/>
        <w:ind w:left="357"/>
      </w:pPr>
    </w:p>
    <w:p w14:paraId="2901B5B6" w14:textId="3D33A92B" w:rsidR="00A50FE0" w:rsidRPr="00E43953" w:rsidRDefault="00A50FE0" w:rsidP="0047718E">
      <w:pPr>
        <w:pStyle w:val="UM1Standard"/>
      </w:pPr>
      <w:r>
        <w:t>Hinweis: Eine Konkretisierung wird derzeit erarbeitet.</w:t>
      </w:r>
    </w:p>
    <w:p w14:paraId="3E144EF2" w14:textId="77777777" w:rsidR="00006D94" w:rsidRDefault="00006D94" w:rsidP="00EC3160">
      <w:pPr>
        <w:pStyle w:val="UM1Standard"/>
      </w:pPr>
    </w:p>
    <w:p w14:paraId="0BB405E3" w14:textId="09D59532" w:rsidR="00006D94" w:rsidRDefault="00006D94" w:rsidP="000C26BF">
      <w:pPr>
        <w:pStyle w:val="UMberschrift3num-Arial-12pt"/>
      </w:pPr>
      <w:r w:rsidRPr="00006D94">
        <w:lastRenderedPageBreak/>
        <w:t>Luftfahrt – Flugplätze und Flugsicherungseinrichtungen</w:t>
      </w:r>
    </w:p>
    <w:p w14:paraId="7DD57537" w14:textId="77777777" w:rsidR="00EC3160" w:rsidRDefault="00EC3160" w:rsidP="00EC0B15">
      <w:pPr>
        <w:pStyle w:val="UM1Standard"/>
      </w:pPr>
    </w:p>
    <w:p w14:paraId="5724E295" w14:textId="61D0C8FC" w:rsidR="00954567" w:rsidRPr="00954567" w:rsidRDefault="00006D94" w:rsidP="00954567">
      <w:pPr>
        <w:pStyle w:val="UM1Standard"/>
      </w:pPr>
      <w:r>
        <w:t>WEA</w:t>
      </w:r>
      <w:r w:rsidR="00954567" w:rsidRPr="00954567">
        <w:t xml:space="preserve"> gelten aufgrund ihrer großen Bauhöhe als Luftfahrthindernisse. Vor allem in der Nähe von Flugplätzen (Flughäfen, Verkehrslandeplätzen, Segelfluggeländen, etc.) kann es zu Konflikten mit luftfahrtrechtlichen Belangen kommen, insbesondere wenn Bauschutzbereiche </w:t>
      </w:r>
      <w:r w:rsidR="00954567">
        <w:t xml:space="preserve">von Flugplätzen </w:t>
      </w:r>
      <w:r w:rsidR="00954567" w:rsidRPr="00954567">
        <w:t xml:space="preserve">oder Schutzbereiche von Platzrunden betroffen sind. Luftfahrtrechtliche Belange werden in frühen Planungsstadien häufig nicht erkannt und treten dann erst zu einem späten Zeitpunkt der Projektierung bzw. im Genehmigungsverfahren in Erscheinung. Meistens sind die luftfahrtrechtlichen Belange nicht oder nur schwer überwindbar. Es empfiehlt sich daher, </w:t>
      </w:r>
      <w:r w:rsidR="00954567">
        <w:t>Informationen</w:t>
      </w:r>
      <w:r w:rsidR="00954567" w:rsidRPr="00954567">
        <w:t xml:space="preserve"> über eventuelle Betroffenheiten möglichst frühzeitig </w:t>
      </w:r>
      <w:r w:rsidR="00954567">
        <w:t>einzuholen</w:t>
      </w:r>
      <w:r w:rsidR="00954567" w:rsidRPr="00954567">
        <w:t>. Bei Vorranggebieten wird in den Regionalplänen regelmäßig auf mögliche Konflikte</w:t>
      </w:r>
      <w:r w:rsidR="00893BA9">
        <w:t>, von denen der Planungsträger Kenntnis erhalten hat,</w:t>
      </w:r>
      <w:r w:rsidR="00954567" w:rsidRPr="00954567">
        <w:t xml:space="preserve"> hingewiesen. Außerdem können die </w:t>
      </w:r>
      <w:r w:rsidR="00312EBB">
        <w:t>StEWK</w:t>
      </w:r>
      <w:r w:rsidR="00954567" w:rsidRPr="00954567">
        <w:t xml:space="preserve"> </w:t>
      </w:r>
      <w:r w:rsidR="00954567">
        <w:t xml:space="preserve">sowie die Landesluftfahrtbehörde </w:t>
      </w:r>
      <w:r w:rsidR="00954567" w:rsidRPr="00954567">
        <w:t>frühzeitige Informationen über Betroffenheiten erteilen.</w:t>
      </w:r>
    </w:p>
    <w:p w14:paraId="3D155289" w14:textId="77777777" w:rsidR="00954567" w:rsidRPr="00954567" w:rsidRDefault="00954567" w:rsidP="00954567">
      <w:pPr>
        <w:pStyle w:val="UM1Standard"/>
      </w:pPr>
    </w:p>
    <w:p w14:paraId="760C1487" w14:textId="45346ECB" w:rsidR="00954567" w:rsidRPr="00954567" w:rsidRDefault="00954567" w:rsidP="00954567">
      <w:pPr>
        <w:pStyle w:val="UM1Standard"/>
      </w:pPr>
      <w:r w:rsidRPr="00954567">
        <w:t>Schutz von Flugsicherungseinrichtungen</w:t>
      </w:r>
    </w:p>
    <w:p w14:paraId="6A41902E" w14:textId="0E190D91" w:rsidR="00954567" w:rsidRDefault="00954567" w:rsidP="00954567">
      <w:pPr>
        <w:pStyle w:val="UM1Standard"/>
      </w:pPr>
      <w:r w:rsidRPr="00954567">
        <w:t xml:space="preserve">Nach § 18a </w:t>
      </w:r>
      <w:r w:rsidR="00195FFF">
        <w:t>Abs. 1 Satz 1 Nr. 1</w:t>
      </w:r>
      <w:r w:rsidRPr="00954567">
        <w:t xml:space="preserve"> LuftVG dürfen Bauwerke, d.h. auch </w:t>
      </w:r>
      <w:r w:rsidR="00312EBB">
        <w:t>WEA</w:t>
      </w:r>
      <w:r w:rsidRPr="00954567">
        <w:t>, nicht errichtet werden, wenn dadurch Flugsicherungseinrichtungen gestört werden können. Flugsicherungseinrichtungen, z.B.</w:t>
      </w:r>
      <w:r w:rsidR="004F0DE1">
        <w:t xml:space="preserve"> </w:t>
      </w:r>
      <w:r w:rsidRPr="00954567">
        <w:t xml:space="preserve">Radar- und Navigationsanlagen, dienen der Sicherheit im Luftverkehr. Das Bundesaufsichtsamt für Flugsicherung </w:t>
      </w:r>
      <w:r w:rsidR="00312EBB">
        <w:t>(</w:t>
      </w:r>
      <w:r w:rsidRPr="00954567">
        <w:t>BAF</w:t>
      </w:r>
      <w:r w:rsidR="00312EBB">
        <w:t>)</w:t>
      </w:r>
      <w:r w:rsidRPr="00954567">
        <w:t xml:space="preserve"> entscheidet auf der Grundlage eines Gutachtens der Deutsche Flugsicherung GmbH (DFS), ob eine solche Störung möglich ist. Das BAF stellt auf seiner </w:t>
      </w:r>
      <w:r w:rsidR="00312EBB">
        <w:t>H</w:t>
      </w:r>
      <w:r w:rsidRPr="00954567">
        <w:t xml:space="preserve">omepage eine interaktive Karte zur 2D Prüfung ziviler Anlagenschutzbereiche bereit, </w:t>
      </w:r>
      <w:r w:rsidR="004F0DE1">
        <w:t>mit deren Hilfe</w:t>
      </w:r>
      <w:r w:rsidRPr="00954567">
        <w:t xml:space="preserve"> mögliche Betroffenheiten von Flugsicherungseinrichtungen erkennbar sind (</w:t>
      </w:r>
      <w:hyperlink r:id="rId27" w:history="1">
        <w:r w:rsidR="00006D94" w:rsidRPr="00B42D8A">
          <w:rPr>
            <w:rStyle w:val="Hyperlink"/>
          </w:rPr>
          <w:t>https://www.baf.bund.de/DE/Themen/Flugsicherungstechnik/Anlagenschutz/anlagenschutz_kartentool.html</w:t>
        </w:r>
      </w:hyperlink>
      <w:r w:rsidRPr="00954567">
        <w:t>).</w:t>
      </w:r>
    </w:p>
    <w:p w14:paraId="43A4EA11" w14:textId="77777777" w:rsidR="00006D94" w:rsidRPr="00954567" w:rsidRDefault="00006D94" w:rsidP="00954567">
      <w:pPr>
        <w:pStyle w:val="UM1Standard"/>
      </w:pPr>
    </w:p>
    <w:p w14:paraId="2C25781A" w14:textId="02578B1E" w:rsidR="00006D94" w:rsidRDefault="00006D94" w:rsidP="000C26BF">
      <w:pPr>
        <w:pStyle w:val="UMberschrift3num-Arial-12pt"/>
      </w:pPr>
      <w:r>
        <w:t>Militärische Belange</w:t>
      </w:r>
    </w:p>
    <w:p w14:paraId="2A596331" w14:textId="7380BCD6" w:rsidR="00954567" w:rsidRPr="00954567" w:rsidRDefault="00954567" w:rsidP="00954567">
      <w:pPr>
        <w:pStyle w:val="UM1Standard"/>
      </w:pPr>
    </w:p>
    <w:p w14:paraId="391D9797" w14:textId="1BBCE231" w:rsidR="00954567" w:rsidRDefault="00954567" w:rsidP="00EC0B15">
      <w:pPr>
        <w:pStyle w:val="UM1Standard"/>
      </w:pPr>
      <w:r w:rsidRPr="00954567">
        <w:t xml:space="preserve">Windkraftprojekte </w:t>
      </w:r>
      <w:r w:rsidR="004F0DE1">
        <w:t>berühren häufig</w:t>
      </w:r>
      <w:r w:rsidRPr="00954567">
        <w:t xml:space="preserve"> militärische Belange. </w:t>
      </w:r>
      <w:r w:rsidR="004F0DE1">
        <w:t xml:space="preserve">Konfliktfelder sind </w:t>
      </w:r>
      <w:r w:rsidRPr="00954567">
        <w:t xml:space="preserve">beispielsweise Hubschraubertiefflugstrecken, militärische Schutzbereiche </w:t>
      </w:r>
      <w:r w:rsidR="004F0DE1">
        <w:t xml:space="preserve">von Verteidigungsanlagen </w:t>
      </w:r>
      <w:r w:rsidRPr="00954567">
        <w:t xml:space="preserve">nach </w:t>
      </w:r>
      <w:r w:rsidR="004F0DE1">
        <w:t xml:space="preserve">dem </w:t>
      </w:r>
      <w:r w:rsidR="006278A8">
        <w:t>Schutzbereichsgesetz (</w:t>
      </w:r>
      <w:proofErr w:type="spellStart"/>
      <w:r w:rsidRPr="00954567">
        <w:t>SchBerG</w:t>
      </w:r>
      <w:proofErr w:type="spellEnd"/>
      <w:r w:rsidR="006278A8">
        <w:t>)</w:t>
      </w:r>
      <w:r w:rsidRPr="00954567">
        <w:t xml:space="preserve">, Radarmindestführungshöhen im </w:t>
      </w:r>
      <w:r w:rsidR="004F0DE1">
        <w:t>Zuständigkeitsb</w:t>
      </w:r>
      <w:r w:rsidRPr="00954567">
        <w:t>ereich militärischer Flugplätze, Luftverteidigungsradare etc. Militärische Belange unterliegen teilweise der Geheimhaltung</w:t>
      </w:r>
      <w:r w:rsidR="006278A8">
        <w:t xml:space="preserve"> und können häufig nicht erkannt werden</w:t>
      </w:r>
      <w:r w:rsidRPr="00954567">
        <w:t xml:space="preserve">. </w:t>
      </w:r>
      <w:r w:rsidR="004F0DE1">
        <w:t>Je nach Belang</w:t>
      </w:r>
      <w:r w:rsidRPr="00954567">
        <w:t xml:space="preserve"> sind </w:t>
      </w:r>
      <w:r w:rsidR="004F0DE1">
        <w:t xml:space="preserve">diese gar </w:t>
      </w:r>
      <w:r w:rsidRPr="00954567">
        <w:t xml:space="preserve">nicht oder nur schwer überwindbar. </w:t>
      </w:r>
      <w:r w:rsidR="004F0DE1">
        <w:lastRenderedPageBreak/>
        <w:t xml:space="preserve">Durch möglichst </w:t>
      </w:r>
      <w:r w:rsidRPr="00954567">
        <w:t>frühzeitig</w:t>
      </w:r>
      <w:r w:rsidR="004F0DE1">
        <w:t>e Information</w:t>
      </w:r>
      <w:r w:rsidRPr="00954567">
        <w:t xml:space="preserve"> über eventuelle Betroffenheiten </w:t>
      </w:r>
      <w:r w:rsidR="004F0DE1">
        <w:t>können Konflikte oft vermieden werden, wenn die Belange berücksichtigt werden</w:t>
      </w:r>
      <w:r w:rsidRPr="00954567">
        <w:t>. Das Bundesamt für Infrastruktur, Umweltschutz und Dienstleistungen der Bundeswehr (</w:t>
      </w:r>
      <w:proofErr w:type="spellStart"/>
      <w:r w:rsidRPr="00954567">
        <w:t>BAIUDBw</w:t>
      </w:r>
      <w:proofErr w:type="spellEnd"/>
      <w:r w:rsidRPr="00954567">
        <w:t>) ist zentrale Ansprechstelle bei der Bundeswehr. Dort besteht</w:t>
      </w:r>
      <w:r w:rsidR="004F0DE1">
        <w:t xml:space="preserve"> </w:t>
      </w:r>
      <w:r w:rsidRPr="00954567">
        <w:t>die Möglichkeit informelle Voranfragen zu stellen. Bei Vorranggebieten wird in den Regionalplänen regelmäßig auf mögliche Konflikte</w:t>
      </w:r>
      <w:r w:rsidR="00FB4390">
        <w:t>, von denen der Planungsträger Kenntnis erhalten hat,</w:t>
      </w:r>
      <w:r w:rsidRPr="00954567">
        <w:t xml:space="preserve"> hingewiesen. Außerdem können die Stabsstellen Energiewende, Windenergie und Klimaschutz bei den Regierungspräsidien unverbindlich Auskunft erteilen, um Betroffenheiten möglichst frühzeitig erkennen zu können</w:t>
      </w:r>
      <w:r w:rsidR="00A91E51">
        <w:t>.</w:t>
      </w:r>
    </w:p>
    <w:p w14:paraId="466A80F6" w14:textId="77777777" w:rsidR="00A91E51" w:rsidRPr="00EC3160" w:rsidRDefault="00A91E51" w:rsidP="00EC0B15">
      <w:pPr>
        <w:pStyle w:val="UM1Standard"/>
      </w:pPr>
    </w:p>
    <w:p w14:paraId="01DE1795" w14:textId="77777777" w:rsidR="00C218B2" w:rsidRDefault="00C218B2" w:rsidP="000C26BF">
      <w:pPr>
        <w:pStyle w:val="UMberschrift2num-Arial-12pt"/>
      </w:pPr>
      <w:r>
        <w:t xml:space="preserve">Bescheinigung der </w:t>
      </w:r>
      <w:bookmarkStart w:id="7" w:name="Vollstaendigkeit"/>
      <w:r>
        <w:t>Vollständigkeit</w:t>
      </w:r>
      <w:bookmarkEnd w:id="7"/>
    </w:p>
    <w:p w14:paraId="7F4A11D2" w14:textId="77777777" w:rsidR="00A91E51" w:rsidRDefault="00A91E51" w:rsidP="00A24303">
      <w:pPr>
        <w:pStyle w:val="UM1Standard"/>
        <w:jc w:val="both"/>
      </w:pPr>
    </w:p>
    <w:p w14:paraId="403B6261" w14:textId="5A580F26" w:rsidR="009F0FAD" w:rsidRPr="00496614" w:rsidRDefault="00521DB1" w:rsidP="00A24303">
      <w:pPr>
        <w:pStyle w:val="UM1Standard"/>
        <w:jc w:val="both"/>
      </w:pPr>
      <w:r>
        <w:t xml:space="preserve">Die Genehmigungsbehörde hat </w:t>
      </w:r>
      <w:r w:rsidR="00693834">
        <w:t xml:space="preserve">unverzüglich, </w:t>
      </w:r>
      <w:r w:rsidRPr="00496614">
        <w:t xml:space="preserve">innerhalb eines Monats nach Eingang des Antrags </w:t>
      </w:r>
      <w:r w:rsidR="00F8731D">
        <w:t xml:space="preserve">und der Unterlagen </w:t>
      </w:r>
      <w:r w:rsidRPr="00496614">
        <w:t>zu prüfen, ob die Unterlagen vollständig sind. Die Behörde kann die Frist in begründeten Ausnahmefällen einmal um zwei Wochen verlängern (§ 7 Abs. 1</w:t>
      </w:r>
      <w:r w:rsidR="00CA171B">
        <w:t xml:space="preserve"> Satz 1 und 2</w:t>
      </w:r>
      <w:r w:rsidRPr="00496614">
        <w:t xml:space="preserve"> der 9. BImSchV). </w:t>
      </w:r>
    </w:p>
    <w:p w14:paraId="413A065F" w14:textId="77777777" w:rsidR="009F0FAD" w:rsidRDefault="009F0FAD" w:rsidP="00A24303">
      <w:pPr>
        <w:pStyle w:val="UM1Standard"/>
        <w:jc w:val="both"/>
      </w:pPr>
    </w:p>
    <w:p w14:paraId="6A1340E7" w14:textId="77777777" w:rsidR="009F0FAD" w:rsidRDefault="00521DB1" w:rsidP="00A24303">
      <w:pPr>
        <w:pStyle w:val="UM1Standard"/>
        <w:jc w:val="both"/>
      </w:pPr>
      <w:r>
        <w:t>Im Rahmen der Vollständigkei</w:t>
      </w:r>
      <w:r w:rsidRPr="002F2147">
        <w:t xml:space="preserve">tsprüfung ist es zweckmäßig, die vom Vorhaben betroffenen Fachbehörden zu beteiligen. </w:t>
      </w:r>
    </w:p>
    <w:p w14:paraId="7FADC850" w14:textId="77777777" w:rsidR="009F0FAD" w:rsidRDefault="009F0FAD" w:rsidP="00A24303">
      <w:pPr>
        <w:pStyle w:val="UM1Standard"/>
        <w:jc w:val="both"/>
      </w:pPr>
    </w:p>
    <w:p w14:paraId="6C6B781A" w14:textId="5209AB33" w:rsidR="00521DB1" w:rsidRDefault="00F8731D" w:rsidP="00A24303">
      <w:pPr>
        <w:pStyle w:val="UM1Standard"/>
        <w:jc w:val="both"/>
      </w:pPr>
      <w:r w:rsidRPr="00F8731D">
        <w:t>Unterlagen sind</w:t>
      </w:r>
      <w:r>
        <w:t xml:space="preserve"> nach § 7 Abs. 2 Satz 2 der 9. BImSchV</w:t>
      </w:r>
      <w:r w:rsidRPr="00F8731D">
        <w:t xml:space="preserve"> vollständig, wenn die Unterlagen in einer Weise prüffähig sind, dass sie sich zu allen rechtlich relevanten Aspekten des Vorhabens verhalten, und die Behörde in die Lage versetzen, den Antrag unter Berücksichtigung dieser Vorgaben näher zu prüfen. Fachliche Einwände und Nachfragen stehen der Vollständigkeit nicht entgegen, sofern die betreffende Unterlage eine fachliche Prüfung überhaupt ermöglicht</w:t>
      </w:r>
      <w:r>
        <w:t xml:space="preserve"> (§ 7 Abs. 2 Satz 3 der 9. BImSchV)</w:t>
      </w:r>
      <w:r w:rsidRPr="00F8731D">
        <w:t xml:space="preserve">. </w:t>
      </w:r>
    </w:p>
    <w:p w14:paraId="32BEE228" w14:textId="77777777" w:rsidR="000C5115" w:rsidRPr="000C5115" w:rsidRDefault="007411DB" w:rsidP="000C5115">
      <w:pPr>
        <w:pStyle w:val="UM1Standard"/>
        <w:jc w:val="both"/>
      </w:pPr>
      <w:r>
        <w:t>Sind die Unterlagen</w:t>
      </w:r>
      <w:r w:rsidR="00521DB1">
        <w:t xml:space="preserve"> unvollständig (z.</w:t>
      </w:r>
      <w:r w:rsidR="0080439E">
        <w:t> </w:t>
      </w:r>
      <w:r w:rsidR="00521DB1">
        <w:t>B. unzureichende Angaben, fehlende Gutachten, fehlende Vollmachten)</w:t>
      </w:r>
      <w:r w:rsidR="00E81D3C">
        <w:t>,</w:t>
      </w:r>
      <w:r w:rsidR="00521DB1">
        <w:t xml:space="preserve"> ist dieser Umstand dem Antragsteller umgehend mitzuteilen</w:t>
      </w:r>
      <w:r w:rsidR="00CA171B">
        <w:t xml:space="preserve"> und der Antragsteller zur Ergänzung aufzufordern (vgl. § 7 Abs. 1 Satz 3 der 9. BImSchV)</w:t>
      </w:r>
      <w:r w:rsidR="00521DB1">
        <w:t xml:space="preserve">. Die nachzufordernden Unterlagen sind dem Antragsteller schriftlich und </w:t>
      </w:r>
      <w:r w:rsidR="00950BFD">
        <w:t xml:space="preserve">möglichst </w:t>
      </w:r>
      <w:r w:rsidR="00521DB1">
        <w:t>gebündelt mitzuteilen, wobei die Nachforderungen detailliert zu bezeichnen sind. Für die Ergänzung der Unterlagen ist eine angemessene Frist zu setzen</w:t>
      </w:r>
      <w:r w:rsidR="00521DB1" w:rsidRPr="002F2147">
        <w:t xml:space="preserve">. </w:t>
      </w:r>
    </w:p>
    <w:p w14:paraId="7B24A7B2" w14:textId="214B78A0" w:rsidR="000C5115" w:rsidRPr="000C5115" w:rsidRDefault="000C5115" w:rsidP="000C5115">
      <w:pPr>
        <w:pStyle w:val="UM1Standard"/>
        <w:jc w:val="both"/>
      </w:pPr>
      <w:r>
        <w:t>Der Antrag</w:t>
      </w:r>
      <w:r w:rsidRPr="000C5115">
        <w:t xml:space="preserve"> soll abgelehnt werden, wenn der Antragsteller einer Aufforderung zur Ergänzung der Unterlagen innerhalb einer ihm gesetzten Frist, die auch im Falle ihrer </w:t>
      </w:r>
      <w:r w:rsidRPr="000C5115">
        <w:lastRenderedPageBreak/>
        <w:t>Verlängerung drei Monate nicht überschreiten soll, nicht nachgekommen ist</w:t>
      </w:r>
      <w:r>
        <w:t xml:space="preserve"> (§ 20 Abs. 2 Satz 2 der 9. BImSchV). </w:t>
      </w:r>
    </w:p>
    <w:p w14:paraId="71EB7F12" w14:textId="6ECECA95" w:rsidR="00521DB1" w:rsidRDefault="00521DB1" w:rsidP="00A24303">
      <w:pPr>
        <w:pStyle w:val="UM1Standard"/>
        <w:jc w:val="both"/>
      </w:pPr>
      <w:r w:rsidRPr="002F2147">
        <w:t>Der</w:t>
      </w:r>
      <w:r>
        <w:t xml:space="preserve"> Antragsteller ist auf die Folgen einer nicht fristgerechten Vorlage hinzuweisen. </w:t>
      </w:r>
    </w:p>
    <w:p w14:paraId="4379ADAD" w14:textId="77777777" w:rsidR="00CA171B" w:rsidRDefault="00CA171B" w:rsidP="00CA171B">
      <w:pPr>
        <w:pStyle w:val="UM1Standard"/>
        <w:jc w:val="both"/>
      </w:pPr>
    </w:p>
    <w:p w14:paraId="2E0892E0" w14:textId="10C68ACC" w:rsidR="00CA171B" w:rsidRPr="009312D7" w:rsidRDefault="00CA171B" w:rsidP="00CA171B">
      <w:pPr>
        <w:pStyle w:val="UM1Standard"/>
        <w:jc w:val="both"/>
      </w:pPr>
      <w:r>
        <w:t>Auf die von der Bund/Länder-Arbeitsgemeinschaft Immissionsschutz (LAI) veröffentlichten Vollzugshinweise zur „Vollständigkeitsprüfung und Nachreichung von Unterlagen“ wird verwiesen (</w:t>
      </w:r>
      <w:hyperlink r:id="rId28" w:history="1">
        <w:r w:rsidRPr="009312D7">
          <w:rPr>
            <w:rStyle w:val="Hyperlink"/>
          </w:rPr>
          <w:t>LAI-Vollzugshinweise; Stand 05.03.2025</w:t>
        </w:r>
      </w:hyperlink>
      <w:r>
        <w:t xml:space="preserve">). </w:t>
      </w:r>
    </w:p>
    <w:p w14:paraId="7276B8AB" w14:textId="77777777" w:rsidR="00C218B2" w:rsidRDefault="00C218B2" w:rsidP="00C218B2">
      <w:pPr>
        <w:pStyle w:val="BW1Standard"/>
        <w:rPr>
          <w:b/>
        </w:rPr>
      </w:pPr>
    </w:p>
    <w:p w14:paraId="4F975DF3" w14:textId="77777777" w:rsidR="00E92681" w:rsidRPr="00C218B2" w:rsidRDefault="00E92681" w:rsidP="000C26BF">
      <w:pPr>
        <w:pStyle w:val="UMberschrift2num-Arial-12pt"/>
      </w:pPr>
      <w:bookmarkStart w:id="8" w:name="Einwenderkatalog"/>
      <w:proofErr w:type="spellStart"/>
      <w:r w:rsidRPr="00C218B2">
        <w:t>Einwenderkatalog</w:t>
      </w:r>
      <w:bookmarkEnd w:id="8"/>
      <w:proofErr w:type="spellEnd"/>
      <w:r>
        <w:t>/</w:t>
      </w:r>
      <w:proofErr w:type="spellStart"/>
      <w:r>
        <w:t>TöB</w:t>
      </w:r>
      <w:proofErr w:type="spellEnd"/>
      <w:r>
        <w:t xml:space="preserve">-Katalog </w:t>
      </w:r>
      <w:r w:rsidRPr="00C218B2">
        <w:t>für den Erörterungstermin</w:t>
      </w:r>
    </w:p>
    <w:p w14:paraId="3DA7BBF0" w14:textId="77777777" w:rsidR="00EB176C" w:rsidRDefault="00EB176C" w:rsidP="00E92681">
      <w:pPr>
        <w:spacing w:line="360" w:lineRule="atLeast"/>
        <w:jc w:val="both"/>
        <w:rPr>
          <w:rFonts w:cs="Arial"/>
          <w:szCs w:val="24"/>
        </w:rPr>
      </w:pPr>
    </w:p>
    <w:p w14:paraId="7CFC076B" w14:textId="110F8877" w:rsidR="00E92681" w:rsidRDefault="00E92681" w:rsidP="00E92681">
      <w:pPr>
        <w:spacing w:line="360" w:lineRule="atLeast"/>
        <w:jc w:val="both"/>
        <w:rPr>
          <w:rFonts w:cs="Arial"/>
          <w:szCs w:val="24"/>
        </w:rPr>
      </w:pPr>
      <w:r w:rsidRPr="00D37284">
        <w:rPr>
          <w:rFonts w:cs="Arial"/>
          <w:szCs w:val="24"/>
        </w:rPr>
        <w:t xml:space="preserve">Ein vollständiger und gut strukturierter </w:t>
      </w:r>
      <w:proofErr w:type="spellStart"/>
      <w:r w:rsidRPr="00D37284">
        <w:rPr>
          <w:rFonts w:cs="Arial"/>
          <w:szCs w:val="24"/>
        </w:rPr>
        <w:t>Einwenderkatalog</w:t>
      </w:r>
      <w:proofErr w:type="spellEnd"/>
      <w:r w:rsidRPr="00D37284">
        <w:rPr>
          <w:rFonts w:cs="Arial"/>
          <w:szCs w:val="24"/>
        </w:rPr>
        <w:t xml:space="preserve"> bildet die Grundlage für die inhaltliche Vorbereitung des Erörterungstermins. Hierfür </w:t>
      </w:r>
      <w:r w:rsidR="00E33788">
        <w:rPr>
          <w:rFonts w:cs="Arial"/>
          <w:szCs w:val="24"/>
        </w:rPr>
        <w:t>können</w:t>
      </w:r>
      <w:r w:rsidR="00E33788" w:rsidRPr="00D37284">
        <w:rPr>
          <w:rFonts w:cs="Arial"/>
          <w:szCs w:val="24"/>
        </w:rPr>
        <w:t xml:space="preserve"> </w:t>
      </w:r>
      <w:r w:rsidRPr="00D37284">
        <w:rPr>
          <w:rFonts w:cs="Arial"/>
          <w:szCs w:val="24"/>
        </w:rPr>
        <w:t>alle ein</w:t>
      </w:r>
      <w:r>
        <w:rPr>
          <w:rFonts w:cs="Arial"/>
          <w:szCs w:val="24"/>
        </w:rPr>
        <w:t xml:space="preserve">gehenden Einwendungen gesammelt, die vorgebrachten Argumente extrahiert, </w:t>
      </w:r>
      <w:r w:rsidRPr="00D37284">
        <w:rPr>
          <w:rFonts w:cs="Arial"/>
          <w:szCs w:val="24"/>
        </w:rPr>
        <w:t>thematisch sortiert</w:t>
      </w:r>
      <w:r>
        <w:rPr>
          <w:rFonts w:cs="Arial"/>
          <w:szCs w:val="24"/>
        </w:rPr>
        <w:t xml:space="preserve"> und tabellarisch aufbereitet</w:t>
      </w:r>
      <w:r w:rsidR="00E33788">
        <w:rPr>
          <w:rFonts w:cs="Arial"/>
          <w:szCs w:val="24"/>
        </w:rPr>
        <w:t xml:space="preserve"> werden</w:t>
      </w:r>
      <w:r w:rsidRPr="00D37284">
        <w:rPr>
          <w:rFonts w:cs="Arial"/>
          <w:szCs w:val="24"/>
        </w:rPr>
        <w:t>.</w:t>
      </w:r>
      <w:r>
        <w:rPr>
          <w:rFonts w:cs="Arial"/>
          <w:szCs w:val="24"/>
        </w:rPr>
        <w:t xml:space="preserve"> </w:t>
      </w:r>
      <w:r w:rsidR="00E33788">
        <w:rPr>
          <w:rFonts w:cs="Arial"/>
          <w:szCs w:val="24"/>
        </w:rPr>
        <w:t xml:space="preserve">Wichtig ist auf </w:t>
      </w:r>
      <w:r>
        <w:rPr>
          <w:rFonts w:cs="Arial"/>
          <w:szCs w:val="24"/>
        </w:rPr>
        <w:t xml:space="preserve">eine eindeutige Zuordnung zwischen Argumenten und Einwendern </w:t>
      </w:r>
      <w:r w:rsidR="00E33788">
        <w:rPr>
          <w:rFonts w:cs="Arial"/>
          <w:szCs w:val="24"/>
        </w:rPr>
        <w:t>zu achten</w:t>
      </w:r>
      <w:r>
        <w:rPr>
          <w:rFonts w:cs="Arial"/>
          <w:szCs w:val="24"/>
        </w:rPr>
        <w:t>.</w:t>
      </w:r>
      <w:r w:rsidRPr="00D37284">
        <w:rPr>
          <w:rFonts w:cs="Arial"/>
          <w:szCs w:val="24"/>
        </w:rPr>
        <w:t xml:space="preserve"> </w:t>
      </w:r>
    </w:p>
    <w:p w14:paraId="6BB59366" w14:textId="77777777" w:rsidR="00E92681" w:rsidRDefault="00E92681" w:rsidP="00E92681">
      <w:pPr>
        <w:spacing w:line="360" w:lineRule="atLeast"/>
        <w:jc w:val="both"/>
        <w:rPr>
          <w:rFonts w:cs="Arial"/>
          <w:szCs w:val="24"/>
        </w:rPr>
      </w:pPr>
    </w:p>
    <w:p w14:paraId="2FE48FE4" w14:textId="33FE0C91" w:rsidR="00E92681" w:rsidRDefault="00E92681" w:rsidP="00E92681">
      <w:pPr>
        <w:spacing w:line="360" w:lineRule="atLeast"/>
        <w:jc w:val="both"/>
        <w:rPr>
          <w:rFonts w:cs="Arial"/>
          <w:szCs w:val="24"/>
        </w:rPr>
      </w:pPr>
      <w:r w:rsidRPr="00D37284">
        <w:rPr>
          <w:rFonts w:cs="Arial"/>
          <w:szCs w:val="24"/>
        </w:rPr>
        <w:t xml:space="preserve">Insbesondere in Verfahren mit vielen Einwendungen ist es wichtig, </w:t>
      </w:r>
      <w:r w:rsidR="00E81D3C">
        <w:rPr>
          <w:rFonts w:cs="Arial"/>
          <w:szCs w:val="24"/>
        </w:rPr>
        <w:t>einen</w:t>
      </w:r>
      <w:r w:rsidR="00E81D3C" w:rsidRPr="00D37284">
        <w:rPr>
          <w:rFonts w:cs="Arial"/>
          <w:szCs w:val="24"/>
        </w:rPr>
        <w:t xml:space="preserve"> </w:t>
      </w:r>
      <w:r w:rsidRPr="00D37284">
        <w:rPr>
          <w:rFonts w:cs="Arial"/>
          <w:szCs w:val="24"/>
        </w:rPr>
        <w:t xml:space="preserve">Überblick zu erhalten, ob </w:t>
      </w:r>
      <w:r w:rsidR="0040566C">
        <w:rPr>
          <w:rFonts w:cs="Arial"/>
          <w:szCs w:val="24"/>
        </w:rPr>
        <w:t>eine Vielzahl von</w:t>
      </w:r>
      <w:r w:rsidR="0040566C" w:rsidRPr="00D37284">
        <w:rPr>
          <w:rFonts w:cs="Arial"/>
          <w:szCs w:val="24"/>
        </w:rPr>
        <w:t xml:space="preserve"> </w:t>
      </w:r>
      <w:r w:rsidRPr="00D37284">
        <w:rPr>
          <w:rFonts w:cs="Arial"/>
          <w:szCs w:val="24"/>
        </w:rPr>
        <w:t xml:space="preserve">Einwendungen </w:t>
      </w:r>
      <w:r>
        <w:rPr>
          <w:rFonts w:cs="Arial"/>
          <w:szCs w:val="24"/>
        </w:rPr>
        <w:t xml:space="preserve">einzeln </w:t>
      </w:r>
      <w:r w:rsidRPr="00D37284">
        <w:rPr>
          <w:rFonts w:cs="Arial"/>
          <w:szCs w:val="24"/>
        </w:rPr>
        <w:t>diskutiert werden m</w:t>
      </w:r>
      <w:r w:rsidR="004D63A0">
        <w:rPr>
          <w:rFonts w:cs="Arial"/>
          <w:szCs w:val="24"/>
        </w:rPr>
        <w:t>uss</w:t>
      </w:r>
      <w:r w:rsidRPr="00D37284">
        <w:rPr>
          <w:rFonts w:cs="Arial"/>
          <w:szCs w:val="24"/>
        </w:rPr>
        <w:t xml:space="preserve"> oder ob sich ein Großteil inhaltlich so überschneidet, dass er </w:t>
      </w:r>
      <w:r w:rsidR="00E33788">
        <w:rPr>
          <w:rFonts w:cs="Arial"/>
          <w:szCs w:val="24"/>
        </w:rPr>
        <w:t xml:space="preserve">thematisch </w:t>
      </w:r>
      <w:r w:rsidRPr="00D37284">
        <w:rPr>
          <w:rFonts w:cs="Arial"/>
          <w:szCs w:val="24"/>
        </w:rPr>
        <w:t>gemeinsam bearbeitet werden kann</w:t>
      </w:r>
      <w:r w:rsidR="00E33788">
        <w:rPr>
          <w:rFonts w:cs="Arial"/>
          <w:szCs w:val="24"/>
        </w:rPr>
        <w:t xml:space="preserve"> (Cluster)</w:t>
      </w:r>
      <w:r w:rsidRPr="00D37284">
        <w:rPr>
          <w:rFonts w:cs="Arial"/>
          <w:szCs w:val="24"/>
        </w:rPr>
        <w:t xml:space="preserve">. Verständnisfragen zu einzelnen Einwendungen sollten </w:t>
      </w:r>
      <w:r w:rsidR="00E81D3C">
        <w:rPr>
          <w:rFonts w:cs="Arial"/>
          <w:szCs w:val="24"/>
        </w:rPr>
        <w:t xml:space="preserve">zusätzlich </w:t>
      </w:r>
      <w:r w:rsidRPr="00D37284">
        <w:rPr>
          <w:rFonts w:cs="Arial"/>
          <w:szCs w:val="24"/>
        </w:rPr>
        <w:t xml:space="preserve">gekennzeichnet werden, um sie im Erörterungstermin klären zu können. </w:t>
      </w:r>
    </w:p>
    <w:p w14:paraId="6E70DD97" w14:textId="77777777" w:rsidR="00E92681" w:rsidRPr="00D37284" w:rsidRDefault="00E92681" w:rsidP="00E92681">
      <w:pPr>
        <w:spacing w:line="360" w:lineRule="atLeast"/>
        <w:jc w:val="both"/>
        <w:rPr>
          <w:rFonts w:cs="Arial"/>
          <w:szCs w:val="24"/>
        </w:rPr>
      </w:pPr>
    </w:p>
    <w:p w14:paraId="7AF1D9CC" w14:textId="77777777" w:rsidR="00E92681" w:rsidRDefault="00E92681" w:rsidP="00E92681">
      <w:pPr>
        <w:spacing w:line="360" w:lineRule="atLeast"/>
        <w:jc w:val="both"/>
        <w:rPr>
          <w:rFonts w:cs="Arial"/>
          <w:szCs w:val="24"/>
        </w:rPr>
      </w:pPr>
      <w:r>
        <w:rPr>
          <w:rFonts w:cs="Arial"/>
          <w:szCs w:val="24"/>
        </w:rPr>
        <w:t xml:space="preserve">Bei der Aufbereitung der </w:t>
      </w:r>
      <w:proofErr w:type="spellStart"/>
      <w:r>
        <w:rPr>
          <w:rFonts w:cs="Arial"/>
          <w:szCs w:val="24"/>
        </w:rPr>
        <w:t>Tö</w:t>
      </w:r>
      <w:r w:rsidRPr="00D37284">
        <w:rPr>
          <w:rFonts w:cs="Arial"/>
          <w:szCs w:val="24"/>
        </w:rPr>
        <w:t>B</w:t>
      </w:r>
      <w:proofErr w:type="spellEnd"/>
      <w:r w:rsidRPr="00D37284">
        <w:rPr>
          <w:rFonts w:cs="Arial"/>
          <w:szCs w:val="24"/>
        </w:rPr>
        <w:t xml:space="preserve">-Stellungnahmen </w:t>
      </w:r>
      <w:r>
        <w:rPr>
          <w:rFonts w:cs="Arial"/>
          <w:szCs w:val="24"/>
        </w:rPr>
        <w:t xml:space="preserve">im </w:t>
      </w:r>
      <w:proofErr w:type="spellStart"/>
      <w:r>
        <w:rPr>
          <w:rFonts w:cs="Arial"/>
          <w:szCs w:val="24"/>
        </w:rPr>
        <w:t>TöB</w:t>
      </w:r>
      <w:proofErr w:type="spellEnd"/>
      <w:r>
        <w:rPr>
          <w:rFonts w:cs="Arial"/>
          <w:szCs w:val="24"/>
        </w:rPr>
        <w:t xml:space="preserve">-Katalog </w:t>
      </w:r>
      <w:r w:rsidRPr="00D37284">
        <w:rPr>
          <w:rFonts w:cs="Arial"/>
          <w:szCs w:val="24"/>
        </w:rPr>
        <w:t xml:space="preserve">empfiehlt sich </w:t>
      </w:r>
      <w:r>
        <w:rPr>
          <w:rFonts w:cs="Arial"/>
          <w:szCs w:val="24"/>
        </w:rPr>
        <w:t xml:space="preserve">zusätzlich </w:t>
      </w:r>
      <w:r w:rsidRPr="00D37284">
        <w:rPr>
          <w:rFonts w:cs="Arial"/>
          <w:szCs w:val="24"/>
        </w:rPr>
        <w:t xml:space="preserve">eine Strukturierung nach noch offenen bzw. zu erörternden Themen und schon </w:t>
      </w:r>
      <w:r w:rsidR="00E81D3C">
        <w:rPr>
          <w:rFonts w:cs="Arial"/>
          <w:szCs w:val="24"/>
        </w:rPr>
        <w:t>vorliegenden</w:t>
      </w:r>
      <w:r w:rsidR="00E81D3C" w:rsidRPr="00D37284">
        <w:rPr>
          <w:rFonts w:cs="Arial"/>
          <w:szCs w:val="24"/>
        </w:rPr>
        <w:t xml:space="preserve"> </w:t>
      </w:r>
      <w:r w:rsidRPr="00D37284">
        <w:rPr>
          <w:rFonts w:cs="Arial"/>
          <w:szCs w:val="24"/>
        </w:rPr>
        <w:t xml:space="preserve">Lösungen in Form von Auflagen, die später in die Genehmigung übernommen werden können. </w:t>
      </w:r>
    </w:p>
    <w:p w14:paraId="2B3D4F56" w14:textId="77777777" w:rsidR="00E92681" w:rsidRDefault="00E92681" w:rsidP="00E92681">
      <w:pPr>
        <w:spacing w:line="360" w:lineRule="atLeast"/>
        <w:jc w:val="both"/>
        <w:rPr>
          <w:rFonts w:cs="Arial"/>
          <w:szCs w:val="24"/>
        </w:rPr>
      </w:pPr>
    </w:p>
    <w:p w14:paraId="6A196331" w14:textId="04606AA5" w:rsidR="00E92681" w:rsidRDefault="00E92681" w:rsidP="00E92681">
      <w:pPr>
        <w:spacing w:line="360" w:lineRule="atLeast"/>
        <w:jc w:val="both"/>
        <w:rPr>
          <w:rFonts w:cs="Arial"/>
          <w:szCs w:val="24"/>
        </w:rPr>
      </w:pPr>
      <w:r>
        <w:rPr>
          <w:rFonts w:cs="Arial"/>
          <w:szCs w:val="24"/>
        </w:rPr>
        <w:t xml:space="preserve">Da die Erstellung des Einwender- und </w:t>
      </w:r>
      <w:proofErr w:type="spellStart"/>
      <w:r>
        <w:rPr>
          <w:rFonts w:cs="Arial"/>
          <w:szCs w:val="24"/>
        </w:rPr>
        <w:t>TöB</w:t>
      </w:r>
      <w:proofErr w:type="spellEnd"/>
      <w:r>
        <w:rPr>
          <w:rFonts w:cs="Arial"/>
          <w:szCs w:val="24"/>
        </w:rPr>
        <w:t>-</w:t>
      </w:r>
      <w:r w:rsidR="00E81D3C">
        <w:rPr>
          <w:rFonts w:cs="Arial"/>
          <w:szCs w:val="24"/>
        </w:rPr>
        <w:t xml:space="preserve">Kataloges </w:t>
      </w:r>
      <w:r>
        <w:rPr>
          <w:rFonts w:cs="Arial"/>
          <w:szCs w:val="24"/>
        </w:rPr>
        <w:t xml:space="preserve">zeitaufwändig </w:t>
      </w:r>
      <w:r w:rsidR="004F3842">
        <w:rPr>
          <w:rFonts w:cs="Arial"/>
          <w:szCs w:val="24"/>
        </w:rPr>
        <w:t>ist</w:t>
      </w:r>
      <w:r>
        <w:rPr>
          <w:rFonts w:cs="Arial"/>
          <w:szCs w:val="24"/>
        </w:rPr>
        <w:t xml:space="preserve">, </w:t>
      </w:r>
      <w:r w:rsidR="004F3842">
        <w:rPr>
          <w:rFonts w:cs="Arial"/>
          <w:szCs w:val="24"/>
        </w:rPr>
        <w:t xml:space="preserve">kann sich </w:t>
      </w:r>
      <w:r>
        <w:rPr>
          <w:rFonts w:cs="Arial"/>
          <w:szCs w:val="24"/>
        </w:rPr>
        <w:t xml:space="preserve">hier die Vorarbeit durch einen Projektmanager </w:t>
      </w:r>
      <w:r w:rsidR="00192C16">
        <w:rPr>
          <w:rFonts w:cs="Arial"/>
          <w:szCs w:val="24"/>
        </w:rPr>
        <w:t>lohnen</w:t>
      </w:r>
      <w:r w:rsidR="004F3842">
        <w:rPr>
          <w:rFonts w:cs="Arial"/>
          <w:szCs w:val="24"/>
        </w:rPr>
        <w:t xml:space="preserve"> </w:t>
      </w:r>
      <w:r>
        <w:rPr>
          <w:rFonts w:cs="Arial"/>
          <w:szCs w:val="24"/>
        </w:rPr>
        <w:t>(s</w:t>
      </w:r>
      <w:r w:rsidR="00E81D3C">
        <w:rPr>
          <w:rFonts w:cs="Arial"/>
          <w:szCs w:val="24"/>
        </w:rPr>
        <w:t>. </w:t>
      </w:r>
      <w:r>
        <w:rPr>
          <w:rFonts w:cs="Arial"/>
          <w:szCs w:val="24"/>
        </w:rPr>
        <w:t>Kapitel 3.</w:t>
      </w:r>
      <w:r w:rsidR="00192C16">
        <w:rPr>
          <w:rFonts w:cs="Arial"/>
          <w:szCs w:val="24"/>
        </w:rPr>
        <w:t>9</w:t>
      </w:r>
      <w:r>
        <w:rPr>
          <w:rFonts w:cs="Arial"/>
          <w:szCs w:val="24"/>
        </w:rPr>
        <w:t>).</w:t>
      </w:r>
    </w:p>
    <w:p w14:paraId="6AFF3D8B" w14:textId="77777777" w:rsidR="00E92681" w:rsidRDefault="00E92681" w:rsidP="00E92681">
      <w:pPr>
        <w:spacing w:line="360" w:lineRule="atLeast"/>
        <w:jc w:val="both"/>
        <w:rPr>
          <w:rFonts w:cs="Arial"/>
          <w:szCs w:val="24"/>
        </w:rPr>
      </w:pPr>
    </w:p>
    <w:p w14:paraId="56BDF058" w14:textId="77777777" w:rsidR="006B63D3" w:rsidRDefault="006B63D3" w:rsidP="00E92681">
      <w:pPr>
        <w:spacing w:line="360" w:lineRule="atLeast"/>
        <w:jc w:val="both"/>
        <w:rPr>
          <w:rFonts w:cs="Arial"/>
          <w:szCs w:val="24"/>
        </w:rPr>
      </w:pPr>
    </w:p>
    <w:p w14:paraId="3A44FDF6" w14:textId="77777777" w:rsidR="006B63D3" w:rsidRDefault="006B63D3" w:rsidP="00E92681">
      <w:pPr>
        <w:spacing w:line="360" w:lineRule="atLeast"/>
        <w:jc w:val="both"/>
        <w:rPr>
          <w:rFonts w:cs="Arial"/>
          <w:szCs w:val="24"/>
        </w:rPr>
      </w:pPr>
    </w:p>
    <w:p w14:paraId="6E4C544A" w14:textId="77777777" w:rsidR="006B63D3" w:rsidRDefault="006B63D3" w:rsidP="00E92681">
      <w:pPr>
        <w:spacing w:line="360" w:lineRule="atLeast"/>
        <w:jc w:val="both"/>
        <w:rPr>
          <w:rFonts w:cs="Arial"/>
          <w:szCs w:val="24"/>
        </w:rPr>
      </w:pPr>
    </w:p>
    <w:p w14:paraId="5CE8E92B" w14:textId="77777777" w:rsidR="001739C9" w:rsidRPr="001739C9" w:rsidRDefault="00B632AC" w:rsidP="000C26BF">
      <w:pPr>
        <w:pStyle w:val="UMberschrift2num-Arial-12pt"/>
        <w:rPr>
          <w:u w:val="single"/>
        </w:rPr>
      </w:pPr>
      <w:bookmarkStart w:id="9" w:name="Eroerterungstermin"/>
      <w:r w:rsidRPr="00B632AC">
        <w:rPr>
          <w:shd w:val="clear" w:color="auto" w:fill="D9D9D9" w:themeFill="background1" w:themeFillShade="D9"/>
        </w:rPr>
        <w:lastRenderedPageBreak/>
        <w:t>Erörterungstermin</w:t>
      </w:r>
      <w:bookmarkEnd w:id="9"/>
      <w:r w:rsidRPr="00B632AC">
        <w:rPr>
          <w:shd w:val="clear" w:color="auto" w:fill="D9D9D9" w:themeFill="background1" w:themeFillShade="D9"/>
        </w:rPr>
        <w:t xml:space="preserve"> </w:t>
      </w:r>
    </w:p>
    <w:p w14:paraId="4FB22E8C" w14:textId="77777777" w:rsidR="007850AB" w:rsidRDefault="007850AB" w:rsidP="00A24303">
      <w:pPr>
        <w:overflowPunct/>
        <w:autoSpaceDE/>
        <w:autoSpaceDN/>
        <w:adjustRightInd/>
        <w:spacing w:after="200" w:line="360" w:lineRule="atLeast"/>
        <w:contextualSpacing/>
        <w:jc w:val="both"/>
        <w:textAlignment w:val="auto"/>
        <w:rPr>
          <w:rFonts w:cs="Arial"/>
          <w:szCs w:val="24"/>
          <w:lang w:eastAsia="en-US"/>
        </w:rPr>
      </w:pPr>
    </w:p>
    <w:p w14:paraId="1108E88D" w14:textId="2EA08CE2" w:rsidR="00C93E80" w:rsidRDefault="00BF7664" w:rsidP="00A24303">
      <w:pPr>
        <w:overflowPunct/>
        <w:autoSpaceDE/>
        <w:autoSpaceDN/>
        <w:adjustRightInd/>
        <w:spacing w:after="200" w:line="360" w:lineRule="atLeast"/>
        <w:contextualSpacing/>
        <w:jc w:val="both"/>
        <w:textAlignment w:val="auto"/>
        <w:rPr>
          <w:rStyle w:val="UM1StandardZchn"/>
        </w:rPr>
      </w:pPr>
      <w:r>
        <w:rPr>
          <w:rFonts w:cs="Arial"/>
          <w:szCs w:val="24"/>
          <w:lang w:eastAsia="en-US"/>
        </w:rPr>
        <w:t xml:space="preserve">Nach § 10 Abs. 4 Nr. 3 BImSchG ist in der Bekanntmachung des Vorhabens ein </w:t>
      </w:r>
      <w:r w:rsidRPr="00BF7664">
        <w:rPr>
          <w:rStyle w:val="UM1StandardZchn"/>
        </w:rPr>
        <w:t xml:space="preserve">Erörterungstermin zu bestimmen und darauf hinzuweisen, dass er aufgrund einer Ermessensentscheidung der Genehmigungsbehörde nach § 10 Abs. 6 BImSchG durchgeführt wird </w:t>
      </w:r>
      <w:r>
        <w:rPr>
          <w:rStyle w:val="UM1StandardZchn"/>
        </w:rPr>
        <w:t xml:space="preserve">und </w:t>
      </w:r>
      <w:r w:rsidRPr="00BF7664">
        <w:rPr>
          <w:rStyle w:val="UM1StandardZchn"/>
        </w:rPr>
        <w:t>dass dann die formgerecht erhobenen Einwendungen auch bei Ausbleiben des</w:t>
      </w:r>
      <w:r w:rsidR="00192C16">
        <w:rPr>
          <w:rStyle w:val="UM1StandardZchn"/>
        </w:rPr>
        <w:t xml:space="preserve"> Vorhabenträgers</w:t>
      </w:r>
      <w:r w:rsidRPr="00BF7664">
        <w:rPr>
          <w:rStyle w:val="UM1StandardZchn"/>
        </w:rPr>
        <w:t xml:space="preserve"> oder von Personen, die Einwendungen erhoben haben, erörtert werden</w:t>
      </w:r>
      <w:r>
        <w:rPr>
          <w:rStyle w:val="UM1StandardZchn"/>
        </w:rPr>
        <w:t xml:space="preserve">. </w:t>
      </w:r>
      <w:r w:rsidR="0001130F" w:rsidRPr="0001130F">
        <w:rPr>
          <w:rFonts w:cs="Arial"/>
          <w:kern w:val="20"/>
          <w:szCs w:val="24"/>
        </w:rPr>
        <w:t>Ein Erörterungstermin findet nach § 16 Abs. 1 S. 1 Nr. 5 der 9. BImSchV</w:t>
      </w:r>
      <w:r w:rsidR="00BA200D">
        <w:rPr>
          <w:rFonts w:cs="Arial"/>
          <w:kern w:val="20"/>
          <w:szCs w:val="24"/>
        </w:rPr>
        <w:t xml:space="preserve"> grundsätzlich</w:t>
      </w:r>
      <w:r w:rsidR="0001130F" w:rsidRPr="0001130F">
        <w:rPr>
          <w:rFonts w:cs="Arial"/>
          <w:kern w:val="20"/>
          <w:szCs w:val="24"/>
        </w:rPr>
        <w:t xml:space="preserve"> nur noch statt, wenn der </w:t>
      </w:r>
      <w:r w:rsidR="00192C16">
        <w:rPr>
          <w:rFonts w:cs="Arial"/>
          <w:kern w:val="20"/>
          <w:szCs w:val="24"/>
        </w:rPr>
        <w:t>Vorhabenträger</w:t>
      </w:r>
      <w:r w:rsidR="0001130F" w:rsidRPr="0001130F">
        <w:rPr>
          <w:rFonts w:cs="Arial"/>
          <w:kern w:val="20"/>
          <w:szCs w:val="24"/>
        </w:rPr>
        <w:t xml:space="preserve"> dessen Durchführung beantragt oder die Genehmigungsbehörde diese im Einzelfall für geboten hält. </w:t>
      </w:r>
      <w:r w:rsidR="00BA200D">
        <w:rPr>
          <w:rStyle w:val="UM1StandardZchn"/>
        </w:rPr>
        <w:t xml:space="preserve">Das behördliche Ermessen wird </w:t>
      </w:r>
      <w:r w:rsidR="00834C94">
        <w:rPr>
          <w:rStyle w:val="UM1StandardZchn"/>
        </w:rPr>
        <w:t xml:space="preserve">bei der Errichtung oder Änderung von </w:t>
      </w:r>
      <w:r w:rsidR="00192C16">
        <w:rPr>
          <w:rStyle w:val="UM1StandardZchn"/>
        </w:rPr>
        <w:t>WEA</w:t>
      </w:r>
      <w:r w:rsidR="00BA200D">
        <w:rPr>
          <w:rStyle w:val="UM1StandardZchn"/>
        </w:rPr>
        <w:t xml:space="preserve"> durch § 16 Abs. 1 Satz 3 der 9. BImSchV eingeschränkt. Hiernach soll</w:t>
      </w:r>
      <w:r w:rsidR="00834C94">
        <w:rPr>
          <w:rStyle w:val="UM1StandardZchn"/>
        </w:rPr>
        <w:t xml:space="preserve"> </w:t>
      </w:r>
      <w:r>
        <w:rPr>
          <w:rStyle w:val="UM1StandardZchn"/>
        </w:rPr>
        <w:t>auf einen Erörterungstermin verzichtet werden</w:t>
      </w:r>
      <w:r w:rsidR="00834C94">
        <w:rPr>
          <w:rStyle w:val="UM1StandardZchn"/>
        </w:rPr>
        <w:t xml:space="preserve">, wenn nicht der </w:t>
      </w:r>
      <w:r w:rsidR="00192C16">
        <w:rPr>
          <w:rStyle w:val="UM1StandardZchn"/>
        </w:rPr>
        <w:t>Vorhabenträger</w:t>
      </w:r>
      <w:r w:rsidR="00834C94">
        <w:rPr>
          <w:rStyle w:val="UM1StandardZchn"/>
        </w:rPr>
        <w:t xml:space="preserve"> diesen beantragt. </w:t>
      </w:r>
    </w:p>
    <w:p w14:paraId="2713E5B2" w14:textId="77777777" w:rsidR="00C93E80" w:rsidRDefault="00C93E80" w:rsidP="00A24303">
      <w:pPr>
        <w:overflowPunct/>
        <w:autoSpaceDE/>
        <w:autoSpaceDN/>
        <w:adjustRightInd/>
        <w:spacing w:after="200" w:line="360" w:lineRule="atLeast"/>
        <w:contextualSpacing/>
        <w:jc w:val="both"/>
        <w:textAlignment w:val="auto"/>
        <w:rPr>
          <w:rStyle w:val="UM1StandardZchn"/>
        </w:rPr>
      </w:pPr>
    </w:p>
    <w:p w14:paraId="2D017526" w14:textId="4778CBF9" w:rsidR="00C93E80" w:rsidRDefault="00C93E80" w:rsidP="00A24303">
      <w:pPr>
        <w:overflowPunct/>
        <w:autoSpaceDE/>
        <w:autoSpaceDN/>
        <w:adjustRightInd/>
        <w:spacing w:after="200" w:line="360" w:lineRule="atLeast"/>
        <w:contextualSpacing/>
        <w:jc w:val="both"/>
        <w:textAlignment w:val="auto"/>
        <w:rPr>
          <w:rFonts w:cs="Arial"/>
          <w:kern w:val="20"/>
          <w:szCs w:val="24"/>
        </w:rPr>
      </w:pPr>
      <w:r>
        <w:rPr>
          <w:rFonts w:cs="Arial"/>
          <w:kern w:val="20"/>
          <w:szCs w:val="24"/>
        </w:rPr>
        <w:t>D</w:t>
      </w:r>
      <w:r w:rsidRPr="00C93E80">
        <w:rPr>
          <w:rFonts w:cs="Arial"/>
          <w:kern w:val="20"/>
          <w:szCs w:val="24"/>
        </w:rPr>
        <w:t>as bedeutet,</w:t>
      </w:r>
      <w:r>
        <w:rPr>
          <w:rFonts w:cs="Arial"/>
          <w:kern w:val="20"/>
          <w:szCs w:val="24"/>
        </w:rPr>
        <w:t xml:space="preserve"> dass</w:t>
      </w:r>
      <w:r w:rsidRPr="00C93E80">
        <w:rPr>
          <w:rFonts w:cs="Arial"/>
          <w:kern w:val="20"/>
          <w:szCs w:val="24"/>
        </w:rPr>
        <w:t xml:space="preserve"> </w:t>
      </w:r>
      <w:r>
        <w:rPr>
          <w:rFonts w:cs="Arial"/>
          <w:kern w:val="20"/>
          <w:szCs w:val="24"/>
        </w:rPr>
        <w:t xml:space="preserve">bei </w:t>
      </w:r>
      <w:r w:rsidR="00192C16">
        <w:rPr>
          <w:rFonts w:cs="Arial"/>
          <w:kern w:val="20"/>
          <w:szCs w:val="24"/>
        </w:rPr>
        <w:t>WEA</w:t>
      </w:r>
      <w:r>
        <w:rPr>
          <w:rFonts w:cs="Arial"/>
          <w:kern w:val="20"/>
          <w:szCs w:val="24"/>
        </w:rPr>
        <w:t xml:space="preserve"> ein</w:t>
      </w:r>
      <w:r w:rsidRPr="00C93E80">
        <w:rPr>
          <w:rFonts w:cs="Arial"/>
          <w:kern w:val="20"/>
          <w:szCs w:val="24"/>
        </w:rPr>
        <w:t xml:space="preserve"> Erörterungstermin ohne Antrag nur noch bei atypischen, also ganz außergewöhnlichen Umständen statt</w:t>
      </w:r>
      <w:r>
        <w:rPr>
          <w:rFonts w:cs="Arial"/>
          <w:kern w:val="20"/>
          <w:szCs w:val="24"/>
        </w:rPr>
        <w:t xml:space="preserve">findet. </w:t>
      </w:r>
      <w:r w:rsidRPr="00C93E80">
        <w:rPr>
          <w:rFonts w:cs="Arial"/>
          <w:kern w:val="20"/>
          <w:szCs w:val="24"/>
        </w:rPr>
        <w:t xml:space="preserve">Ein atypischer Sachverhalt ist insbesondere nicht etwa allein deshalb gegeben, weil ein großes Interesse der Öffentlichkeit besteht oder viele Einwendungen vorliegen. Ein atypischer Fall könnte aber vorliegen, wenn nach Einschätzung der </w:t>
      </w:r>
      <w:r w:rsidR="00192C16">
        <w:rPr>
          <w:rFonts w:cs="Arial"/>
          <w:kern w:val="20"/>
          <w:szCs w:val="24"/>
        </w:rPr>
        <w:t>Genehmigungsb</w:t>
      </w:r>
      <w:r w:rsidRPr="00C93E80">
        <w:rPr>
          <w:rFonts w:cs="Arial"/>
          <w:kern w:val="20"/>
          <w:szCs w:val="24"/>
        </w:rPr>
        <w:t>ehörde wegen im Einzelfall besonders kritischer Genehmigungsvoraussetzungen, die auch Gegenstand substantiierter Einwendungen sind, Erörterungsbedarf besteht</w:t>
      </w:r>
      <w:r>
        <w:rPr>
          <w:rFonts w:cs="Arial"/>
          <w:kern w:val="20"/>
          <w:szCs w:val="24"/>
        </w:rPr>
        <w:t>.</w:t>
      </w:r>
      <w:r w:rsidRPr="00C93E80" w:rsidDel="00834C94">
        <w:rPr>
          <w:rFonts w:cs="Arial"/>
          <w:kern w:val="20"/>
          <w:szCs w:val="24"/>
        </w:rPr>
        <w:t xml:space="preserve"> </w:t>
      </w:r>
    </w:p>
    <w:p w14:paraId="6B8DAFEF" w14:textId="77777777" w:rsidR="00C93E80" w:rsidRDefault="00C93E80" w:rsidP="00A24303">
      <w:pPr>
        <w:overflowPunct/>
        <w:autoSpaceDE/>
        <w:autoSpaceDN/>
        <w:adjustRightInd/>
        <w:spacing w:after="200" w:line="360" w:lineRule="atLeast"/>
        <w:contextualSpacing/>
        <w:jc w:val="both"/>
        <w:textAlignment w:val="auto"/>
        <w:rPr>
          <w:rFonts w:cs="Arial"/>
          <w:kern w:val="20"/>
          <w:szCs w:val="24"/>
        </w:rPr>
      </w:pPr>
    </w:p>
    <w:p w14:paraId="6A2C8096" w14:textId="7AB70CB7" w:rsidR="00BF7664" w:rsidRDefault="00C93E80" w:rsidP="00C80792">
      <w:pPr>
        <w:overflowPunct/>
        <w:autoSpaceDE/>
        <w:autoSpaceDN/>
        <w:adjustRightInd/>
        <w:spacing w:line="360" w:lineRule="atLeast"/>
        <w:jc w:val="both"/>
        <w:textAlignment w:val="auto"/>
        <w:rPr>
          <w:rFonts w:cs="Arial"/>
          <w:szCs w:val="24"/>
          <w:lang w:eastAsia="en-US"/>
        </w:rPr>
      </w:pPr>
      <w:r w:rsidRPr="00C93E80">
        <w:rPr>
          <w:rFonts w:cs="Arial"/>
          <w:kern w:val="20"/>
          <w:szCs w:val="24"/>
        </w:rPr>
        <w:t>Sollte ein Erörterungstermin stattfinden, so soll er nach § 16 Abs. 1 S. 2 der 9. BImSchV spätestens vier Wochen nach Ablauf der Einwendungsfrist durch</w:t>
      </w:r>
      <w:r w:rsidRPr="00C93E80">
        <w:rPr>
          <w:rFonts w:cs="Arial"/>
          <w:kern w:val="20"/>
          <w:szCs w:val="24"/>
        </w:rPr>
        <w:softHyphen/>
        <w:t>geführt werden.</w:t>
      </w:r>
      <w:r>
        <w:rPr>
          <w:rFonts w:cs="Arial"/>
          <w:kern w:val="20"/>
          <w:szCs w:val="24"/>
        </w:rPr>
        <w:t xml:space="preserve"> Im Übrigen wird auf den Leitfaden „</w:t>
      </w:r>
      <w:hyperlink r:id="rId29" w:history="1">
        <w:r w:rsidRPr="007C5596">
          <w:rPr>
            <w:rStyle w:val="Hyperlink"/>
            <w:rFonts w:cs="Arial"/>
            <w:kern w:val="20"/>
            <w:szCs w:val="24"/>
          </w:rPr>
          <w:t>Genehmigungs- und Anzeigeverfahren nach dem Bundes-Immissionsschutzgesetz</w:t>
        </w:r>
      </w:hyperlink>
      <w:r>
        <w:rPr>
          <w:rFonts w:cs="Arial"/>
          <w:kern w:val="20"/>
          <w:szCs w:val="24"/>
        </w:rPr>
        <w:t>“ des UM verwiesen.</w:t>
      </w:r>
    </w:p>
    <w:p w14:paraId="59151645" w14:textId="77777777" w:rsidR="005B3AFA" w:rsidRDefault="005B3AFA" w:rsidP="00C80792">
      <w:pPr>
        <w:overflowPunct/>
        <w:autoSpaceDE/>
        <w:autoSpaceDN/>
        <w:adjustRightInd/>
        <w:spacing w:line="360" w:lineRule="atLeast"/>
        <w:jc w:val="both"/>
        <w:textAlignment w:val="auto"/>
        <w:rPr>
          <w:rFonts w:cs="Arial"/>
          <w:szCs w:val="24"/>
        </w:rPr>
      </w:pPr>
    </w:p>
    <w:p w14:paraId="3C3B8987" w14:textId="77777777" w:rsidR="00C218B2" w:rsidRPr="00C218B2" w:rsidRDefault="00C218B2" w:rsidP="000C26BF">
      <w:pPr>
        <w:pStyle w:val="UMberschrift2num-Arial-12pt"/>
      </w:pPr>
      <w:bookmarkStart w:id="10" w:name="Eroerterungsbericht"/>
      <w:r w:rsidRPr="00C218B2">
        <w:t>Erörterungsbericht</w:t>
      </w:r>
      <w:bookmarkEnd w:id="10"/>
    </w:p>
    <w:p w14:paraId="184F204B" w14:textId="77777777" w:rsidR="00EB176C" w:rsidRDefault="00EB176C" w:rsidP="00C218B2">
      <w:pPr>
        <w:spacing w:line="360" w:lineRule="atLeast"/>
        <w:jc w:val="both"/>
        <w:rPr>
          <w:rFonts w:cs="Arial"/>
          <w:szCs w:val="24"/>
        </w:rPr>
      </w:pPr>
    </w:p>
    <w:p w14:paraId="5317C174" w14:textId="27820127" w:rsidR="00E92681" w:rsidRDefault="00C218B2" w:rsidP="00C218B2">
      <w:pPr>
        <w:spacing w:line="360" w:lineRule="atLeast"/>
        <w:jc w:val="both"/>
        <w:rPr>
          <w:rFonts w:cs="Arial"/>
          <w:szCs w:val="24"/>
        </w:rPr>
      </w:pPr>
      <w:r w:rsidRPr="00D37284">
        <w:rPr>
          <w:rFonts w:cs="Arial"/>
          <w:szCs w:val="24"/>
        </w:rPr>
        <w:t xml:space="preserve">Der </w:t>
      </w:r>
      <w:r w:rsidR="00501629">
        <w:rPr>
          <w:rFonts w:cs="Arial"/>
          <w:szCs w:val="24"/>
        </w:rPr>
        <w:t xml:space="preserve">Einwender- und </w:t>
      </w:r>
      <w:proofErr w:type="spellStart"/>
      <w:r w:rsidR="00501629">
        <w:rPr>
          <w:rFonts w:cs="Arial"/>
          <w:szCs w:val="24"/>
        </w:rPr>
        <w:t>Tö</w:t>
      </w:r>
      <w:r w:rsidRPr="00D37284">
        <w:rPr>
          <w:rFonts w:cs="Arial"/>
          <w:szCs w:val="24"/>
        </w:rPr>
        <w:t>B</w:t>
      </w:r>
      <w:proofErr w:type="spellEnd"/>
      <w:r w:rsidRPr="00D37284">
        <w:rPr>
          <w:rFonts w:cs="Arial"/>
          <w:szCs w:val="24"/>
        </w:rPr>
        <w:t xml:space="preserve">-Katalog </w:t>
      </w:r>
      <w:r w:rsidR="006D7484">
        <w:rPr>
          <w:rFonts w:cs="Arial"/>
          <w:szCs w:val="24"/>
        </w:rPr>
        <w:t>sowie</w:t>
      </w:r>
      <w:r w:rsidR="006D7484" w:rsidRPr="00D37284">
        <w:rPr>
          <w:rFonts w:cs="Arial"/>
          <w:szCs w:val="24"/>
        </w:rPr>
        <w:t xml:space="preserve"> </w:t>
      </w:r>
      <w:r w:rsidR="00834C94">
        <w:rPr>
          <w:rFonts w:cs="Arial"/>
          <w:szCs w:val="24"/>
        </w:rPr>
        <w:t xml:space="preserve">ggf. </w:t>
      </w:r>
      <w:r w:rsidRPr="00D37284">
        <w:rPr>
          <w:rFonts w:cs="Arial"/>
          <w:szCs w:val="24"/>
        </w:rPr>
        <w:t xml:space="preserve">das </w:t>
      </w:r>
      <w:r w:rsidR="00997D42">
        <w:t>Protokoll</w:t>
      </w:r>
      <w:r w:rsidRPr="00D37284">
        <w:rPr>
          <w:rFonts w:cs="Arial"/>
          <w:szCs w:val="24"/>
        </w:rPr>
        <w:t xml:space="preserve"> aus dem Erörterungstermin werden zusammengeführt zu einem Erörterungsbe</w:t>
      </w:r>
      <w:r>
        <w:rPr>
          <w:rFonts w:cs="Arial"/>
          <w:szCs w:val="24"/>
        </w:rPr>
        <w:t>richt. Jeder Einwendung wird</w:t>
      </w:r>
      <w:r w:rsidRPr="00D37284">
        <w:rPr>
          <w:rFonts w:cs="Arial"/>
          <w:szCs w:val="24"/>
        </w:rPr>
        <w:t xml:space="preserve"> die entsprechende Stellungnahme zugeordnet</w:t>
      </w:r>
      <w:r>
        <w:rPr>
          <w:rFonts w:cs="Arial"/>
          <w:szCs w:val="24"/>
        </w:rPr>
        <w:t>, sodass alle vollständig abgearbeitet werden</w:t>
      </w:r>
      <w:r w:rsidRPr="00D37284">
        <w:rPr>
          <w:rFonts w:cs="Arial"/>
          <w:szCs w:val="24"/>
        </w:rPr>
        <w:t>. Noch offene Punkte werden gekennzeichnet und mit einer schriftlichen Aufgabenzuweisung</w:t>
      </w:r>
      <w:r>
        <w:rPr>
          <w:rFonts w:cs="Arial"/>
          <w:szCs w:val="24"/>
        </w:rPr>
        <w:t xml:space="preserve"> mit verbindlicher Frist zur Bearbeitung</w:t>
      </w:r>
      <w:r w:rsidRPr="00D37284">
        <w:rPr>
          <w:rFonts w:cs="Arial"/>
          <w:szCs w:val="24"/>
        </w:rPr>
        <w:t xml:space="preserve"> an den</w:t>
      </w:r>
      <w:r>
        <w:rPr>
          <w:rFonts w:cs="Arial"/>
          <w:szCs w:val="24"/>
        </w:rPr>
        <w:t xml:space="preserve"> jeweiligen</w:t>
      </w:r>
      <w:r w:rsidRPr="00D37284">
        <w:rPr>
          <w:rFonts w:cs="Arial"/>
          <w:szCs w:val="24"/>
        </w:rPr>
        <w:t xml:space="preserve"> Beantworter (</w:t>
      </w:r>
      <w:r w:rsidR="00807B80">
        <w:rPr>
          <w:rFonts w:cs="Arial"/>
          <w:szCs w:val="24"/>
        </w:rPr>
        <w:t>Vor</w:t>
      </w:r>
      <w:r w:rsidR="00807B80">
        <w:rPr>
          <w:rFonts w:cs="Arial"/>
          <w:szCs w:val="24"/>
        </w:rPr>
        <w:lastRenderedPageBreak/>
        <w:t>habenträger</w:t>
      </w:r>
      <w:r w:rsidRPr="00D37284">
        <w:rPr>
          <w:rFonts w:cs="Arial"/>
          <w:szCs w:val="24"/>
        </w:rPr>
        <w:t xml:space="preserve">, Sachverständiger, Behörde) gegeben. </w:t>
      </w:r>
      <w:r w:rsidR="006D7484">
        <w:rPr>
          <w:rFonts w:cs="Arial"/>
          <w:szCs w:val="24"/>
        </w:rPr>
        <w:t>Es empfiehlt sich, den</w:t>
      </w:r>
      <w:r w:rsidR="006D7484" w:rsidRPr="00D37284">
        <w:rPr>
          <w:rFonts w:cs="Arial"/>
          <w:szCs w:val="24"/>
        </w:rPr>
        <w:t xml:space="preserve"> </w:t>
      </w:r>
      <w:r w:rsidRPr="00D37284">
        <w:rPr>
          <w:rFonts w:cs="Arial"/>
          <w:szCs w:val="24"/>
        </w:rPr>
        <w:t>Erörterungsbericht bereits so aus</w:t>
      </w:r>
      <w:r w:rsidR="006D7484">
        <w:rPr>
          <w:rFonts w:cs="Arial"/>
          <w:szCs w:val="24"/>
        </w:rPr>
        <w:t>zu</w:t>
      </w:r>
      <w:r w:rsidRPr="00D37284">
        <w:rPr>
          <w:rFonts w:cs="Arial"/>
          <w:szCs w:val="24"/>
        </w:rPr>
        <w:t>formuli</w:t>
      </w:r>
      <w:r w:rsidR="006D7484">
        <w:rPr>
          <w:rFonts w:cs="Arial"/>
          <w:szCs w:val="24"/>
        </w:rPr>
        <w:t>er</w:t>
      </w:r>
      <w:r w:rsidRPr="00D37284">
        <w:rPr>
          <w:rFonts w:cs="Arial"/>
          <w:szCs w:val="24"/>
        </w:rPr>
        <w:t xml:space="preserve">en, dass er später </w:t>
      </w:r>
      <w:r>
        <w:rPr>
          <w:rFonts w:cs="Arial"/>
          <w:szCs w:val="24"/>
        </w:rPr>
        <w:t xml:space="preserve">passagenweise </w:t>
      </w:r>
      <w:r w:rsidRPr="00D37284">
        <w:rPr>
          <w:rFonts w:cs="Arial"/>
          <w:szCs w:val="24"/>
        </w:rPr>
        <w:t xml:space="preserve">in die </w:t>
      </w:r>
      <w:r>
        <w:rPr>
          <w:rFonts w:cs="Arial"/>
          <w:szCs w:val="24"/>
        </w:rPr>
        <w:t xml:space="preserve">Begründung der </w:t>
      </w:r>
      <w:r w:rsidRPr="00D37284">
        <w:rPr>
          <w:rFonts w:cs="Arial"/>
          <w:szCs w:val="24"/>
        </w:rPr>
        <w:t xml:space="preserve">Genehmigung übernommen werden kann. </w:t>
      </w:r>
    </w:p>
    <w:p w14:paraId="51656EEF" w14:textId="77777777" w:rsidR="00E92681" w:rsidRDefault="00E92681" w:rsidP="00C218B2">
      <w:pPr>
        <w:spacing w:line="360" w:lineRule="atLeast"/>
        <w:jc w:val="both"/>
        <w:rPr>
          <w:rFonts w:cs="Arial"/>
          <w:szCs w:val="24"/>
        </w:rPr>
      </w:pPr>
    </w:p>
    <w:p w14:paraId="142B9604" w14:textId="76061F1B" w:rsidR="00C218B2" w:rsidRPr="00807B80" w:rsidRDefault="00C218B2" w:rsidP="00807B80">
      <w:pPr>
        <w:spacing w:line="360" w:lineRule="atLeast"/>
        <w:jc w:val="both"/>
        <w:rPr>
          <w:rFonts w:cs="Arial"/>
          <w:szCs w:val="24"/>
        </w:rPr>
      </w:pPr>
      <w:r w:rsidRPr="00D37284">
        <w:rPr>
          <w:rFonts w:cs="Arial"/>
          <w:szCs w:val="24"/>
        </w:rPr>
        <w:t>D</w:t>
      </w:r>
      <w:r>
        <w:rPr>
          <w:rFonts w:cs="Arial"/>
          <w:szCs w:val="24"/>
        </w:rPr>
        <w:t>a dieser Schritt je nach Umfang der eingereichten Einwendungen zeitintensiv ist, kann der Projektmanager</w:t>
      </w:r>
      <w:r w:rsidRPr="00D37284">
        <w:rPr>
          <w:rFonts w:cs="Arial"/>
          <w:szCs w:val="24"/>
        </w:rPr>
        <w:t xml:space="preserve"> </w:t>
      </w:r>
      <w:r w:rsidR="00E92681">
        <w:rPr>
          <w:rFonts w:cs="Arial"/>
          <w:szCs w:val="24"/>
        </w:rPr>
        <w:t xml:space="preserve">(s. Kapitel 3.9) </w:t>
      </w:r>
      <w:r w:rsidRPr="00D37284">
        <w:rPr>
          <w:rFonts w:cs="Arial"/>
          <w:szCs w:val="24"/>
        </w:rPr>
        <w:t xml:space="preserve">die </w:t>
      </w:r>
      <w:r w:rsidR="007C4C8D">
        <w:rPr>
          <w:rFonts w:cs="Arial"/>
          <w:szCs w:val="24"/>
        </w:rPr>
        <w:t>Genehmigungsb</w:t>
      </w:r>
      <w:r w:rsidR="007C4C8D" w:rsidRPr="00D37284">
        <w:rPr>
          <w:rFonts w:cs="Arial"/>
          <w:szCs w:val="24"/>
        </w:rPr>
        <w:t>ehörde</w:t>
      </w:r>
      <w:r w:rsidR="007C4C8D">
        <w:rPr>
          <w:rFonts w:cs="Arial"/>
          <w:szCs w:val="24"/>
        </w:rPr>
        <w:t xml:space="preserve"> </w:t>
      </w:r>
      <w:r>
        <w:rPr>
          <w:rFonts w:cs="Arial"/>
          <w:szCs w:val="24"/>
        </w:rPr>
        <w:t>hier</w:t>
      </w:r>
      <w:r w:rsidRPr="00D37284">
        <w:rPr>
          <w:rFonts w:cs="Arial"/>
          <w:szCs w:val="24"/>
        </w:rPr>
        <w:t xml:space="preserve"> erheblich entlasten, </w:t>
      </w:r>
      <w:r w:rsidR="006D7484">
        <w:rPr>
          <w:rFonts w:cs="Arial"/>
          <w:szCs w:val="24"/>
        </w:rPr>
        <w:t>indem</w:t>
      </w:r>
      <w:r w:rsidR="006D7484" w:rsidRPr="00D37284">
        <w:rPr>
          <w:rFonts w:cs="Arial"/>
          <w:szCs w:val="24"/>
        </w:rPr>
        <w:t xml:space="preserve"> </w:t>
      </w:r>
      <w:r w:rsidRPr="00D37284">
        <w:rPr>
          <w:rFonts w:cs="Arial"/>
          <w:szCs w:val="24"/>
        </w:rPr>
        <w:t xml:space="preserve">er einen ersten Entwurf erstellt. </w:t>
      </w:r>
    </w:p>
    <w:p w14:paraId="6726D976" w14:textId="77777777" w:rsidR="008202B6" w:rsidRDefault="008202B6" w:rsidP="0016672A">
      <w:pPr>
        <w:pStyle w:val="BW1Standard"/>
      </w:pPr>
    </w:p>
    <w:p w14:paraId="5871850B" w14:textId="77777777" w:rsidR="0016672A" w:rsidRPr="0016672A" w:rsidRDefault="0016672A" w:rsidP="000C26BF">
      <w:pPr>
        <w:pStyle w:val="UMberschrift1numArial-fett-12pt"/>
      </w:pPr>
      <w:r w:rsidRPr="0016672A">
        <w:t>Realisierung</w:t>
      </w:r>
    </w:p>
    <w:p w14:paraId="1609D688" w14:textId="77777777" w:rsidR="0016672A" w:rsidRPr="008202B6" w:rsidRDefault="008202B6" w:rsidP="000C26BF">
      <w:pPr>
        <w:pStyle w:val="UMberschrift2num-Arial-12pt"/>
      </w:pPr>
      <w:r w:rsidRPr="008202B6">
        <w:t>Petition</w:t>
      </w:r>
    </w:p>
    <w:p w14:paraId="1C388BE1" w14:textId="77777777" w:rsidR="00401945" w:rsidRDefault="00401945" w:rsidP="000715D7">
      <w:pPr>
        <w:pStyle w:val="BW1Standard"/>
      </w:pPr>
    </w:p>
    <w:p w14:paraId="1277E997" w14:textId="497DA3F3" w:rsidR="000715D7" w:rsidRDefault="000715D7" w:rsidP="000715D7">
      <w:pPr>
        <w:pStyle w:val="BW1Standard"/>
      </w:pPr>
      <w:r>
        <w:t>Das Petitionsrecht gewährt jedermann das Recht, sich einzeln oder in Gemeinschaft mit anderen schriftlich mit Bitten oder Beschwerden an die zuständigen Stellen und an die Volksvertretung zu wenden</w:t>
      </w:r>
      <w:r w:rsidR="00C75F43">
        <w:t xml:space="preserve"> (Art. 17 G</w:t>
      </w:r>
      <w:r w:rsidR="007C4C8D">
        <w:t>rundgesetz (GG)</w:t>
      </w:r>
      <w:r w:rsidR="00C75F43">
        <w:t>)</w:t>
      </w:r>
      <w:r>
        <w:t xml:space="preserve">. Eine Petition ist auch in laufenden Genehmigungsverfahren jederzeit möglich und kann zu erheblichen Verfahrensverzögerungen führen. </w:t>
      </w:r>
    </w:p>
    <w:p w14:paraId="1D48F297" w14:textId="77777777" w:rsidR="000715D7" w:rsidRDefault="000715D7" w:rsidP="000715D7">
      <w:pPr>
        <w:pStyle w:val="BW1Standard"/>
      </w:pPr>
    </w:p>
    <w:p w14:paraId="128F4F31" w14:textId="7EA292B6" w:rsidR="000715D7" w:rsidRDefault="000715D7" w:rsidP="000715D7">
      <w:pPr>
        <w:pStyle w:val="BW1Standard"/>
      </w:pPr>
      <w:r>
        <w:t xml:space="preserve">Sobald eine Petition beim Landtag eingereicht wird, wird das zuständige Ressort (bei </w:t>
      </w:r>
      <w:r w:rsidR="00401945">
        <w:t xml:space="preserve">WEA </w:t>
      </w:r>
      <w:r>
        <w:t xml:space="preserve">in der Regel das UM) über den Eingang informiert. Zwischen dem Landtag und der Landesregierung gibt es mit dem </w:t>
      </w:r>
      <w:r w:rsidR="00BD2422">
        <w:t>sog</w:t>
      </w:r>
      <w:r w:rsidR="006D7484">
        <w:t>enannten</w:t>
      </w:r>
      <w:r w:rsidR="00BD2422">
        <w:t xml:space="preserve"> </w:t>
      </w:r>
      <w:r>
        <w:t xml:space="preserve">Stillhalteabkommen eine Übereinkunft, dass während eines anhängigen Petitionsverfahrens diejenigen Maßnahmen, gegen die sich die Petition richtet, von der Verwaltung bis zur Entscheidung über die Petition grundsätzlich nicht vollzogen werden dürfen. Das UM prüft daher unverzüglich, ob sich die Petition gegen ein laufendes Genehmigungsverfahren richtet. Sollte dies zutreffend sein, wird die Genehmigungsbehörde informiert und auf die </w:t>
      </w:r>
      <w:r w:rsidR="00BD2422">
        <w:t xml:space="preserve">Notwendigkeit der </w:t>
      </w:r>
      <w:r>
        <w:t>Einhaltung des Stillhalteabkommens hingewiesen.</w:t>
      </w:r>
    </w:p>
    <w:p w14:paraId="72C0B7AD" w14:textId="77777777" w:rsidR="008E5CBA" w:rsidRDefault="008E5CBA" w:rsidP="000715D7">
      <w:pPr>
        <w:pStyle w:val="BW1Standard"/>
      </w:pPr>
    </w:p>
    <w:p w14:paraId="1EDDD774" w14:textId="6A7CFFA6" w:rsidR="000715D7" w:rsidRDefault="00F5200E" w:rsidP="000715D7">
      <w:pPr>
        <w:pStyle w:val="BW1Standard"/>
      </w:pPr>
      <w:r>
        <w:t xml:space="preserve">Gleichzeitig handelt es sich bei einer immissionsschutzrechtlichen Genehmigung um eine gebundene Entscheidung, bei der die Genehmigungsbehörde an gesetzliche Fristen gebunden ist und der Vorhabenträger ggf. </w:t>
      </w:r>
      <w:r w:rsidR="00416802">
        <w:t>auch ein berechtigtes Interesse an auf der Genehmigungsentscheidung basierenden Folgeentscheidungen (Baufreigabe, Rodungsfreigabe…) hat.</w:t>
      </w:r>
    </w:p>
    <w:p w14:paraId="2A4587D2" w14:textId="77777777" w:rsidR="000F1F36" w:rsidRDefault="000F1F36" w:rsidP="000715D7">
      <w:pPr>
        <w:pStyle w:val="BW1Standard"/>
      </w:pPr>
    </w:p>
    <w:p w14:paraId="29D7AF1E" w14:textId="05FA6929" w:rsidR="00E94180" w:rsidRDefault="00F46002" w:rsidP="000715D7">
      <w:pPr>
        <w:pStyle w:val="BW1Standard"/>
      </w:pPr>
      <w:r>
        <w:lastRenderedPageBreak/>
        <w:t>Deswegen ist im Rahmen des Stillhalteabkommens die</w:t>
      </w:r>
      <w:r w:rsidR="000715D7">
        <w:t xml:space="preserve"> Erteilung des „grünen L</w:t>
      </w:r>
      <w:r w:rsidR="00586212">
        <w:t>icht</w:t>
      </w:r>
      <w:r w:rsidR="000715D7">
        <w:t>s“ durch das UM</w:t>
      </w:r>
      <w:r>
        <w:t xml:space="preserve"> möglich</w:t>
      </w:r>
      <w:r w:rsidR="00416802">
        <w:t>, welches von der Genehmigungsbehörde beantragt werden muss</w:t>
      </w:r>
      <w:r w:rsidR="000F1F36">
        <w:t>.</w:t>
      </w:r>
      <w:r w:rsidR="000715D7">
        <w:t xml:space="preserve"> Hierfür </w:t>
      </w:r>
      <w:r w:rsidR="00B471DE">
        <w:t>sind</w:t>
      </w:r>
      <w:r w:rsidR="000715D7">
        <w:t xml:space="preserve"> eine ausführliche Sachverhaltsdarstellung und Begründung erforderlich</w:t>
      </w:r>
      <w:r w:rsidR="008E4663">
        <w:t>,</w:t>
      </w:r>
      <w:r w:rsidR="00AD4B01">
        <w:t xml:space="preserve"> welche vom UM geprüft und</w:t>
      </w:r>
      <w:r w:rsidR="006A5ACF">
        <w:t xml:space="preserve"> an den Petitionsausschuss übermittelt wird</w:t>
      </w:r>
      <w:r w:rsidR="000715D7">
        <w:t xml:space="preserve">. Das UM </w:t>
      </w:r>
      <w:r w:rsidR="000715D7" w:rsidRPr="00486C6B">
        <w:t xml:space="preserve">kündigt gegenüber </w:t>
      </w:r>
      <w:r w:rsidR="000715D7">
        <w:t xml:space="preserve">dem </w:t>
      </w:r>
      <w:r w:rsidR="000715D7" w:rsidRPr="00486C6B">
        <w:t>Vorsitz des P</w:t>
      </w:r>
      <w:r w:rsidR="000715D7">
        <w:t>etitionsausschusses</w:t>
      </w:r>
      <w:r w:rsidR="000715D7" w:rsidRPr="00486C6B">
        <w:t xml:space="preserve"> die Absicht der Erteilung des „grünen Lichts“ an und gibt diesem </w:t>
      </w:r>
      <w:r w:rsidR="00AD4B01">
        <w:t xml:space="preserve">die </w:t>
      </w:r>
      <w:r w:rsidR="000715D7" w:rsidRPr="00486C6B">
        <w:t>Gelegenheit zur Stellungnahme</w:t>
      </w:r>
      <w:r w:rsidR="000715D7">
        <w:t>. Sofern keine anderslautende Rückmeldung seitens des Petitionsausschusses erfolgt, informiert das UM die Genehmigungsbehörde, dass die Genehmigung trotz anhängigem Petitionsverfahren erteilt werden kann.</w:t>
      </w:r>
    </w:p>
    <w:p w14:paraId="5265E3A5" w14:textId="77777777" w:rsidR="008202B6" w:rsidRPr="0016672A" w:rsidRDefault="008202B6" w:rsidP="008202B6">
      <w:pPr>
        <w:pStyle w:val="BW1Standard"/>
        <w:shd w:val="clear" w:color="auto" w:fill="FFFFFF" w:themeFill="background1"/>
        <w:rPr>
          <w:b/>
        </w:rPr>
      </w:pPr>
    </w:p>
    <w:sectPr w:rsidR="008202B6" w:rsidRPr="0016672A" w:rsidSect="0016672A">
      <w:headerReference w:type="even" r:id="rId30"/>
      <w:headerReference w:type="default" r:id="rId31"/>
      <w:footerReference w:type="even" r:id="rId32"/>
      <w:footerReference w:type="default" r:id="rId33"/>
      <w:headerReference w:type="first" r:id="rId34"/>
      <w:footerReference w:type="first" r:id="rId35"/>
      <w:pgSz w:w="11906" w:h="16838"/>
      <w:pgMar w:top="1814" w:right="1134" w:bottom="1701" w:left="164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D8A0" w14:textId="77777777" w:rsidR="00374D38" w:rsidRDefault="00374D38" w:rsidP="00FE3ACE">
      <w:r>
        <w:separator/>
      </w:r>
    </w:p>
    <w:p w14:paraId="69A0346F" w14:textId="77777777" w:rsidR="00374D38" w:rsidRDefault="00374D38"/>
  </w:endnote>
  <w:endnote w:type="continuationSeparator" w:id="0">
    <w:p w14:paraId="5AB0AB23" w14:textId="77777777" w:rsidR="00374D38" w:rsidRDefault="00374D38" w:rsidP="00FE3ACE">
      <w:r>
        <w:continuationSeparator/>
      </w:r>
    </w:p>
    <w:p w14:paraId="46A24FC1" w14:textId="77777777" w:rsidR="00374D38" w:rsidRDefault="00374D38"/>
  </w:endnote>
  <w:endnote w:type="continuationNotice" w:id="1">
    <w:p w14:paraId="69FF9C0C" w14:textId="77777777" w:rsidR="00374D38" w:rsidRDefault="00374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21CF" w14:textId="77777777" w:rsidR="00F92285" w:rsidRDefault="00F922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321459"/>
      <w:docPartObj>
        <w:docPartGallery w:val="Page Numbers (Bottom of Page)"/>
        <w:docPartUnique/>
      </w:docPartObj>
    </w:sdtPr>
    <w:sdtEndPr/>
    <w:sdtContent>
      <w:p w14:paraId="15B1E8C6" w14:textId="57F592F2" w:rsidR="00112ACC" w:rsidRDefault="00112ACC">
        <w:pPr>
          <w:pStyle w:val="Fuzeile"/>
          <w:jc w:val="center"/>
        </w:pPr>
        <w:r>
          <w:fldChar w:fldCharType="begin"/>
        </w:r>
        <w:r>
          <w:instrText>PAGE   \* MERGEFORMAT</w:instrText>
        </w:r>
        <w:r>
          <w:fldChar w:fldCharType="separate"/>
        </w:r>
        <w:r>
          <w:t>2</w:t>
        </w:r>
        <w:r>
          <w:fldChar w:fldCharType="end"/>
        </w:r>
      </w:p>
    </w:sdtContent>
  </w:sdt>
  <w:p w14:paraId="4E61C03F" w14:textId="77777777" w:rsidR="00F92285" w:rsidRDefault="00F922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5D62" w14:textId="77777777" w:rsidR="00F92285" w:rsidRDefault="00F92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2BCD" w14:textId="77777777" w:rsidR="00374D38" w:rsidRDefault="00374D38" w:rsidP="00FE3ACE">
      <w:r>
        <w:separator/>
      </w:r>
    </w:p>
    <w:p w14:paraId="6C5323D2" w14:textId="77777777" w:rsidR="00374D38" w:rsidRDefault="00374D38"/>
  </w:footnote>
  <w:footnote w:type="continuationSeparator" w:id="0">
    <w:p w14:paraId="1FBBE085" w14:textId="77777777" w:rsidR="00374D38" w:rsidRDefault="00374D38" w:rsidP="00FE3ACE">
      <w:r>
        <w:continuationSeparator/>
      </w:r>
    </w:p>
    <w:p w14:paraId="05A10D69" w14:textId="77777777" w:rsidR="00374D38" w:rsidRDefault="00374D38"/>
  </w:footnote>
  <w:footnote w:type="continuationNotice" w:id="1">
    <w:p w14:paraId="31A8F151" w14:textId="77777777" w:rsidR="00374D38" w:rsidRDefault="00374D38"/>
  </w:footnote>
  <w:footnote w:id="2">
    <w:p w14:paraId="0FDD984D" w14:textId="0EDB9AB5" w:rsidR="00F92285" w:rsidRDefault="00F92285" w:rsidP="00CC1C3B">
      <w:pPr>
        <w:pStyle w:val="Funotentext"/>
      </w:pPr>
      <w:r w:rsidRPr="00D4497F">
        <w:rPr>
          <w:rStyle w:val="Funotenzeichen"/>
          <w:sz w:val="20"/>
        </w:rPr>
        <w:footnoteRef/>
      </w:r>
      <w:r w:rsidRPr="00D4497F">
        <w:rPr>
          <w:sz w:val="20"/>
        </w:rPr>
        <w:t xml:space="preserve"> </w:t>
      </w:r>
      <w:r w:rsidR="00DB1958" w:rsidRPr="00D4497F">
        <w:rPr>
          <w:sz w:val="20"/>
        </w:rPr>
        <w:t>Landmann/Rohmer</w:t>
      </w:r>
      <w:r w:rsidR="00DB1958">
        <w:rPr>
          <w:sz w:val="20"/>
        </w:rPr>
        <w:t xml:space="preserve">, Umweltrecht 107. EL Mai 2025, </w:t>
      </w:r>
      <w:r w:rsidR="00DB1958" w:rsidRPr="00D4497F">
        <w:rPr>
          <w:sz w:val="20"/>
        </w:rPr>
        <w:t>§ 1 der 4. BImSchV Rd. 14 ff.</w:t>
      </w:r>
    </w:p>
  </w:footnote>
  <w:footnote w:id="3">
    <w:p w14:paraId="432884A9" w14:textId="77777777" w:rsidR="00F92285" w:rsidRDefault="00F92285">
      <w:pPr>
        <w:pStyle w:val="Funotentext"/>
      </w:pPr>
      <w:r>
        <w:rPr>
          <w:rStyle w:val="Funotenzeichen"/>
        </w:rPr>
        <w:footnoteRef/>
      </w:r>
      <w:r>
        <w:t xml:space="preserve"> </w:t>
      </w:r>
      <w:r w:rsidRPr="00B17094">
        <w:rPr>
          <w:sz w:val="20"/>
        </w:rPr>
        <w:t>Mit § 6 WindBG hat der Bundesgesetzgeber von Artikel 6 der Verordnung (EU) 2022/2577 vom 6. Dezember 2022 (sog. NotfallVO EE) Gebrauch gemacht.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2590" w14:textId="77777777" w:rsidR="00F92285" w:rsidRDefault="00F922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930C" w14:textId="77777777" w:rsidR="00F92285" w:rsidRDefault="00F922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4CC5" w14:textId="77777777" w:rsidR="00F92285" w:rsidRDefault="00F922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314"/>
    <w:multiLevelType w:val="hybridMultilevel"/>
    <w:tmpl w:val="2CA07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EC5F83"/>
    <w:multiLevelType w:val="hybridMultilevel"/>
    <w:tmpl w:val="E1841E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31E4F54"/>
    <w:multiLevelType w:val="multilevel"/>
    <w:tmpl w:val="CAA476C6"/>
    <w:lvl w:ilvl="0">
      <w:start w:val="1"/>
      <w:numFmt w:val="decimal"/>
      <w:lvlText w:val="%1."/>
      <w:lvlJc w:val="left"/>
      <w:pPr>
        <w:ind w:left="1021" w:hanging="1021"/>
      </w:pPr>
      <w:rPr>
        <w:rFonts w:ascii="Arial" w:hAnsi="Arial" w:hint="default"/>
        <w:b/>
        <w:i w:val="0"/>
        <w:sz w:val="24"/>
      </w:rPr>
    </w:lvl>
    <w:lvl w:ilvl="1">
      <w:start w:val="1"/>
      <w:numFmt w:val="decimal"/>
      <w:lvlText w:val="%1.%2."/>
      <w:lvlJc w:val="left"/>
      <w:pPr>
        <w:ind w:left="1021" w:hanging="1021"/>
      </w:pPr>
      <w:rPr>
        <w:rFonts w:ascii="Arial" w:hAnsi="Arial" w:hint="default"/>
        <w:b w:val="0"/>
        <w:i w:val="0"/>
        <w:sz w:val="24"/>
      </w:rPr>
    </w:lvl>
    <w:lvl w:ilvl="2">
      <w:start w:val="1"/>
      <w:numFmt w:val="decimal"/>
      <w:lvlText w:val="%1.%2.%3."/>
      <w:lvlJc w:val="left"/>
      <w:pPr>
        <w:ind w:left="1021" w:hanging="1021"/>
      </w:pPr>
      <w:rPr>
        <w:rFonts w:ascii="Arial" w:hAnsi="Arial" w:hint="default"/>
        <w:b w:val="0"/>
        <w:i w:val="0"/>
        <w:sz w:val="24"/>
      </w:rPr>
    </w:lvl>
    <w:lvl w:ilvl="3">
      <w:start w:val="1"/>
      <w:numFmt w:val="decimal"/>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 w15:restartNumberingAfterBreak="0">
    <w:nsid w:val="03A876EE"/>
    <w:multiLevelType w:val="hybridMultilevel"/>
    <w:tmpl w:val="82AEAC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6BC7963"/>
    <w:multiLevelType w:val="hybridMultilevel"/>
    <w:tmpl w:val="4572AF2A"/>
    <w:lvl w:ilvl="0" w:tplc="336E858E">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CD5F48"/>
    <w:multiLevelType w:val="hybridMultilevel"/>
    <w:tmpl w:val="6E8C7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AC147A"/>
    <w:multiLevelType w:val="hybridMultilevel"/>
    <w:tmpl w:val="6E02B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57376E"/>
    <w:multiLevelType w:val="multilevel"/>
    <w:tmpl w:val="04070023"/>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8" w15:restartNumberingAfterBreak="0">
    <w:nsid w:val="13A00CB0"/>
    <w:multiLevelType w:val="multilevel"/>
    <w:tmpl w:val="EE48FF64"/>
    <w:lvl w:ilvl="0">
      <w:start w:val="1"/>
      <w:numFmt w:val="decimal"/>
      <w:lvlRestart w:val="0"/>
      <w:lvlText w:val="%1"/>
      <w:lvlJc w:val="left"/>
      <w:pPr>
        <w:tabs>
          <w:tab w:val="num" w:pos="850"/>
        </w:tabs>
        <w:ind w:left="850" w:hanging="850"/>
      </w:pPr>
      <w:rPr>
        <w:rFonts w:hint="default"/>
        <w:b/>
      </w:rPr>
    </w:lvl>
    <w:lvl w:ilvl="1">
      <w:start w:val="1"/>
      <w:numFmt w:val="decimal"/>
      <w:lvlText w:val="%1.%2"/>
      <w:lvlJc w:val="left"/>
      <w:pPr>
        <w:tabs>
          <w:tab w:val="num" w:pos="850"/>
        </w:tabs>
        <w:ind w:left="850" w:hanging="850"/>
      </w:pPr>
      <w:rPr>
        <w:b/>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9" w15:restartNumberingAfterBreak="0">
    <w:nsid w:val="1A9E591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A7462"/>
    <w:multiLevelType w:val="hybridMultilevel"/>
    <w:tmpl w:val="2B4C5B6E"/>
    <w:lvl w:ilvl="0" w:tplc="5664AFA0">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F51DE2"/>
    <w:multiLevelType w:val="hybridMultilevel"/>
    <w:tmpl w:val="4536AD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2B4778"/>
    <w:multiLevelType w:val="multilevel"/>
    <w:tmpl w:val="197E460E"/>
    <w:lvl w:ilvl="0">
      <w:start w:val="1"/>
      <w:numFmt w:val="bullet"/>
      <w:pStyle w:val="U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C3623A"/>
    <w:multiLevelType w:val="multilevel"/>
    <w:tmpl w:val="29F4CA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E96FD7"/>
    <w:multiLevelType w:val="hybridMultilevel"/>
    <w:tmpl w:val="CA2EC862"/>
    <w:lvl w:ilvl="0" w:tplc="65BA11B2">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9E1D75"/>
    <w:multiLevelType w:val="hybridMultilevel"/>
    <w:tmpl w:val="7C7C177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2FE2244D"/>
    <w:multiLevelType w:val="multilevel"/>
    <w:tmpl w:val="60368862"/>
    <w:lvl w:ilvl="0">
      <w:start w:val="1"/>
      <w:numFmt w:val="decimal"/>
      <w:lvlText w:val="%1."/>
      <w:lvlJc w:val="left"/>
      <w:pPr>
        <w:ind w:left="1021" w:hanging="1021"/>
      </w:pPr>
      <w:rPr>
        <w:rFonts w:ascii="Arial" w:hAnsi="Arial" w:hint="default"/>
        <w:b/>
        <w:i w:val="0"/>
        <w:sz w:val="24"/>
      </w:rPr>
    </w:lvl>
    <w:lvl w:ilvl="1">
      <w:start w:val="1"/>
      <w:numFmt w:val="decimal"/>
      <w:lvlText w:val="%1.%2."/>
      <w:lvlJc w:val="left"/>
      <w:pPr>
        <w:ind w:left="1021" w:hanging="1021"/>
      </w:pPr>
      <w:rPr>
        <w:rFonts w:ascii="Arial" w:hAnsi="Arial" w:hint="default"/>
        <w:b w:val="0"/>
        <w:i w:val="0"/>
        <w:sz w:val="24"/>
      </w:rPr>
    </w:lvl>
    <w:lvl w:ilvl="2">
      <w:start w:val="1"/>
      <w:numFmt w:val="decimal"/>
      <w:lvlText w:val="%1.%2.%3."/>
      <w:lvlJc w:val="left"/>
      <w:pPr>
        <w:ind w:left="1021" w:hanging="1021"/>
      </w:pPr>
      <w:rPr>
        <w:rFonts w:ascii="Arial" w:hAnsi="Arial" w:hint="default"/>
        <w:b w:val="0"/>
        <w:i w:val="0"/>
        <w:sz w:val="24"/>
      </w:rPr>
    </w:lvl>
    <w:lvl w:ilvl="3">
      <w:start w:val="1"/>
      <w:numFmt w:val="decimal"/>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7" w15:restartNumberingAfterBreak="0">
    <w:nsid w:val="312357CB"/>
    <w:multiLevelType w:val="hybridMultilevel"/>
    <w:tmpl w:val="27AEC692"/>
    <w:lvl w:ilvl="0" w:tplc="A7F6FF8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5BF2F8E"/>
    <w:multiLevelType w:val="hybridMultilevel"/>
    <w:tmpl w:val="0FCED5E8"/>
    <w:lvl w:ilvl="0" w:tplc="A5808738">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1325F1"/>
    <w:multiLevelType w:val="hybridMultilevel"/>
    <w:tmpl w:val="B400E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47512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9F03EE"/>
    <w:multiLevelType w:val="hybridMultilevel"/>
    <w:tmpl w:val="24E481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9AF3BFA"/>
    <w:multiLevelType w:val="hybridMultilevel"/>
    <w:tmpl w:val="40487B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A157F57"/>
    <w:multiLevelType w:val="hybridMultilevel"/>
    <w:tmpl w:val="9200B1E6"/>
    <w:lvl w:ilvl="0" w:tplc="96EC78D6">
      <w:start w:val="1"/>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3AFB6564"/>
    <w:multiLevelType w:val="hybridMultilevel"/>
    <w:tmpl w:val="CF3A640E"/>
    <w:lvl w:ilvl="0" w:tplc="88164758">
      <w:start w:val="1"/>
      <w:numFmt w:val="decimal"/>
      <w:lvlRestart w:val="0"/>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2B732C"/>
    <w:multiLevelType w:val="hybridMultilevel"/>
    <w:tmpl w:val="5262E284"/>
    <w:lvl w:ilvl="0" w:tplc="67709A32">
      <w:start w:val="1"/>
      <w:numFmt w:val="decimal"/>
      <w:lvlText w:val="%1."/>
      <w:lvlJc w:val="left"/>
      <w:pPr>
        <w:ind w:left="24" w:hanging="360"/>
      </w:pPr>
      <w:rPr>
        <w:rFonts w:hint="default"/>
      </w:rPr>
    </w:lvl>
    <w:lvl w:ilvl="1" w:tplc="04070019">
      <w:start w:val="1"/>
      <w:numFmt w:val="lowerLetter"/>
      <w:lvlText w:val="%2."/>
      <w:lvlJc w:val="left"/>
      <w:pPr>
        <w:ind w:left="744" w:hanging="360"/>
      </w:pPr>
    </w:lvl>
    <w:lvl w:ilvl="2" w:tplc="0407001B" w:tentative="1">
      <w:start w:val="1"/>
      <w:numFmt w:val="lowerRoman"/>
      <w:lvlText w:val="%3."/>
      <w:lvlJc w:val="right"/>
      <w:pPr>
        <w:ind w:left="1464" w:hanging="180"/>
      </w:pPr>
    </w:lvl>
    <w:lvl w:ilvl="3" w:tplc="0407000F" w:tentative="1">
      <w:start w:val="1"/>
      <w:numFmt w:val="decimal"/>
      <w:lvlText w:val="%4."/>
      <w:lvlJc w:val="left"/>
      <w:pPr>
        <w:ind w:left="2184" w:hanging="360"/>
      </w:pPr>
    </w:lvl>
    <w:lvl w:ilvl="4" w:tplc="04070019" w:tentative="1">
      <w:start w:val="1"/>
      <w:numFmt w:val="lowerLetter"/>
      <w:lvlText w:val="%5."/>
      <w:lvlJc w:val="left"/>
      <w:pPr>
        <w:ind w:left="2904" w:hanging="360"/>
      </w:pPr>
    </w:lvl>
    <w:lvl w:ilvl="5" w:tplc="0407001B" w:tentative="1">
      <w:start w:val="1"/>
      <w:numFmt w:val="lowerRoman"/>
      <w:lvlText w:val="%6."/>
      <w:lvlJc w:val="right"/>
      <w:pPr>
        <w:ind w:left="3624" w:hanging="180"/>
      </w:pPr>
    </w:lvl>
    <w:lvl w:ilvl="6" w:tplc="0407000F" w:tentative="1">
      <w:start w:val="1"/>
      <w:numFmt w:val="decimal"/>
      <w:lvlText w:val="%7."/>
      <w:lvlJc w:val="left"/>
      <w:pPr>
        <w:ind w:left="4344" w:hanging="360"/>
      </w:pPr>
    </w:lvl>
    <w:lvl w:ilvl="7" w:tplc="04070019" w:tentative="1">
      <w:start w:val="1"/>
      <w:numFmt w:val="lowerLetter"/>
      <w:lvlText w:val="%8."/>
      <w:lvlJc w:val="left"/>
      <w:pPr>
        <w:ind w:left="5064" w:hanging="360"/>
      </w:pPr>
    </w:lvl>
    <w:lvl w:ilvl="8" w:tplc="0407001B" w:tentative="1">
      <w:start w:val="1"/>
      <w:numFmt w:val="lowerRoman"/>
      <w:lvlText w:val="%9."/>
      <w:lvlJc w:val="right"/>
      <w:pPr>
        <w:ind w:left="5784" w:hanging="180"/>
      </w:pPr>
    </w:lvl>
  </w:abstractNum>
  <w:abstractNum w:abstractNumId="26" w15:restartNumberingAfterBreak="0">
    <w:nsid w:val="3D872141"/>
    <w:multiLevelType w:val="multilevel"/>
    <w:tmpl w:val="BB6A89DE"/>
    <w:lvl w:ilvl="0">
      <w:start w:val="1"/>
      <w:numFmt w:val="decimal"/>
      <w:pStyle w:val="UMListe-num1Arial-12pt"/>
      <w:lvlText w:val="%1."/>
      <w:lvlJc w:val="left"/>
      <w:pPr>
        <w:ind w:left="567" w:hanging="567"/>
      </w:pPr>
      <w:rPr>
        <w:rFonts w:ascii="Arial" w:hAnsi="Arial" w:hint="default"/>
        <w:b w:val="0"/>
        <w:i w:val="0"/>
        <w:sz w:val="24"/>
      </w:rPr>
    </w:lvl>
    <w:lvl w:ilvl="1">
      <w:start w:val="1"/>
      <w:numFmt w:val="decimal"/>
      <w:pStyle w:val="U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AA3AF0"/>
    <w:multiLevelType w:val="multilevel"/>
    <w:tmpl w:val="0DD26EC2"/>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28" w15:restartNumberingAfterBreak="0">
    <w:nsid w:val="3FF132A1"/>
    <w:multiLevelType w:val="hybridMultilevel"/>
    <w:tmpl w:val="3A1E1734"/>
    <w:lvl w:ilvl="0" w:tplc="04070001">
      <w:start w:val="1"/>
      <w:numFmt w:val="bullet"/>
      <w:lvlText w:val=""/>
      <w:lvlJc w:val="left"/>
      <w:pPr>
        <w:ind w:left="1377" w:hanging="360"/>
      </w:pPr>
      <w:rPr>
        <w:rFonts w:ascii="Symbol" w:hAnsi="Symbol" w:hint="default"/>
      </w:rPr>
    </w:lvl>
    <w:lvl w:ilvl="1" w:tplc="04070003" w:tentative="1">
      <w:start w:val="1"/>
      <w:numFmt w:val="bullet"/>
      <w:lvlText w:val="o"/>
      <w:lvlJc w:val="left"/>
      <w:pPr>
        <w:ind w:left="2097" w:hanging="360"/>
      </w:pPr>
      <w:rPr>
        <w:rFonts w:ascii="Courier New" w:hAnsi="Courier New" w:cs="Courier New" w:hint="default"/>
      </w:rPr>
    </w:lvl>
    <w:lvl w:ilvl="2" w:tplc="04070005" w:tentative="1">
      <w:start w:val="1"/>
      <w:numFmt w:val="bullet"/>
      <w:lvlText w:val=""/>
      <w:lvlJc w:val="left"/>
      <w:pPr>
        <w:ind w:left="2817" w:hanging="360"/>
      </w:pPr>
      <w:rPr>
        <w:rFonts w:ascii="Wingdings" w:hAnsi="Wingdings" w:hint="default"/>
      </w:rPr>
    </w:lvl>
    <w:lvl w:ilvl="3" w:tplc="04070001" w:tentative="1">
      <w:start w:val="1"/>
      <w:numFmt w:val="bullet"/>
      <w:lvlText w:val=""/>
      <w:lvlJc w:val="left"/>
      <w:pPr>
        <w:ind w:left="3537" w:hanging="360"/>
      </w:pPr>
      <w:rPr>
        <w:rFonts w:ascii="Symbol" w:hAnsi="Symbol" w:hint="default"/>
      </w:rPr>
    </w:lvl>
    <w:lvl w:ilvl="4" w:tplc="04070003" w:tentative="1">
      <w:start w:val="1"/>
      <w:numFmt w:val="bullet"/>
      <w:lvlText w:val="o"/>
      <w:lvlJc w:val="left"/>
      <w:pPr>
        <w:ind w:left="4257" w:hanging="360"/>
      </w:pPr>
      <w:rPr>
        <w:rFonts w:ascii="Courier New" w:hAnsi="Courier New" w:cs="Courier New" w:hint="default"/>
      </w:rPr>
    </w:lvl>
    <w:lvl w:ilvl="5" w:tplc="04070005" w:tentative="1">
      <w:start w:val="1"/>
      <w:numFmt w:val="bullet"/>
      <w:lvlText w:val=""/>
      <w:lvlJc w:val="left"/>
      <w:pPr>
        <w:ind w:left="4977" w:hanging="360"/>
      </w:pPr>
      <w:rPr>
        <w:rFonts w:ascii="Wingdings" w:hAnsi="Wingdings" w:hint="default"/>
      </w:rPr>
    </w:lvl>
    <w:lvl w:ilvl="6" w:tplc="04070001" w:tentative="1">
      <w:start w:val="1"/>
      <w:numFmt w:val="bullet"/>
      <w:lvlText w:val=""/>
      <w:lvlJc w:val="left"/>
      <w:pPr>
        <w:ind w:left="5697" w:hanging="360"/>
      </w:pPr>
      <w:rPr>
        <w:rFonts w:ascii="Symbol" w:hAnsi="Symbol" w:hint="default"/>
      </w:rPr>
    </w:lvl>
    <w:lvl w:ilvl="7" w:tplc="04070003" w:tentative="1">
      <w:start w:val="1"/>
      <w:numFmt w:val="bullet"/>
      <w:lvlText w:val="o"/>
      <w:lvlJc w:val="left"/>
      <w:pPr>
        <w:ind w:left="6417" w:hanging="360"/>
      </w:pPr>
      <w:rPr>
        <w:rFonts w:ascii="Courier New" w:hAnsi="Courier New" w:cs="Courier New" w:hint="default"/>
      </w:rPr>
    </w:lvl>
    <w:lvl w:ilvl="8" w:tplc="04070005" w:tentative="1">
      <w:start w:val="1"/>
      <w:numFmt w:val="bullet"/>
      <w:lvlText w:val=""/>
      <w:lvlJc w:val="left"/>
      <w:pPr>
        <w:ind w:left="7137" w:hanging="360"/>
      </w:pPr>
      <w:rPr>
        <w:rFonts w:ascii="Wingdings" w:hAnsi="Wingdings" w:hint="default"/>
      </w:rPr>
    </w:lvl>
  </w:abstractNum>
  <w:abstractNum w:abstractNumId="29" w15:restartNumberingAfterBreak="0">
    <w:nsid w:val="42700699"/>
    <w:multiLevelType w:val="hybridMultilevel"/>
    <w:tmpl w:val="A3BC14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4BB7F2B"/>
    <w:multiLevelType w:val="hybridMultilevel"/>
    <w:tmpl w:val="ED126D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1" w15:restartNumberingAfterBreak="0">
    <w:nsid w:val="44FB25DE"/>
    <w:multiLevelType w:val="hybridMultilevel"/>
    <w:tmpl w:val="3ABC8F38"/>
    <w:lvl w:ilvl="0" w:tplc="04070001">
      <w:start w:val="1"/>
      <w:numFmt w:val="bullet"/>
      <w:lvlText w:val=""/>
      <w:lvlJc w:val="left"/>
      <w:pPr>
        <w:ind w:left="708" w:hanging="360"/>
      </w:pPr>
      <w:rPr>
        <w:rFonts w:ascii="Symbol" w:hAnsi="Symbol" w:hint="default"/>
      </w:rPr>
    </w:lvl>
    <w:lvl w:ilvl="1" w:tplc="04466892">
      <w:numFmt w:val="bullet"/>
      <w:lvlText w:val="-"/>
      <w:lvlJc w:val="left"/>
      <w:pPr>
        <w:ind w:left="1428" w:hanging="360"/>
      </w:pPr>
      <w:rPr>
        <w:rFonts w:ascii="Arial" w:eastAsia="Times New Roman" w:hAnsi="Arial" w:cs="Arial"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32" w15:restartNumberingAfterBreak="0">
    <w:nsid w:val="47E01AD3"/>
    <w:multiLevelType w:val="multilevel"/>
    <w:tmpl w:val="3F1ECC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C8242B"/>
    <w:multiLevelType w:val="multilevel"/>
    <w:tmpl w:val="A12A552C"/>
    <w:styleLink w:val="UMberschriften"/>
    <w:lvl w:ilvl="0">
      <w:start w:val="1"/>
      <w:numFmt w:val="decimal"/>
      <w:pStyle w:val="UMberschrift1numArial-fett-12pt"/>
      <w:lvlText w:val="%1"/>
      <w:lvlJc w:val="left"/>
      <w:pPr>
        <w:ind w:left="1021" w:hanging="1021"/>
      </w:pPr>
      <w:rPr>
        <w:rFonts w:ascii="Arial" w:hAnsi="Arial" w:hint="default"/>
        <w:b/>
        <w:i w:val="0"/>
        <w:sz w:val="24"/>
      </w:rPr>
    </w:lvl>
    <w:lvl w:ilvl="1">
      <w:start w:val="1"/>
      <w:numFmt w:val="decimal"/>
      <w:pStyle w:val="UMberschrift2num-Arial-12pt"/>
      <w:lvlText w:val="%1.%2"/>
      <w:lvlJc w:val="left"/>
      <w:pPr>
        <w:ind w:left="1021" w:hanging="1021"/>
      </w:pPr>
      <w:rPr>
        <w:rFonts w:ascii="Arial" w:hAnsi="Arial" w:hint="default"/>
        <w:b w:val="0"/>
        <w:i w:val="0"/>
        <w:sz w:val="24"/>
      </w:rPr>
    </w:lvl>
    <w:lvl w:ilvl="2">
      <w:start w:val="1"/>
      <w:numFmt w:val="decimal"/>
      <w:pStyle w:val="UMberschrift3num-Arial-12pt"/>
      <w:lvlText w:val="%1.%2.%3"/>
      <w:lvlJc w:val="left"/>
      <w:pPr>
        <w:ind w:left="1021" w:hanging="1021"/>
      </w:pPr>
      <w:rPr>
        <w:rFonts w:ascii="Arial" w:hAnsi="Arial" w:hint="default"/>
        <w:b w:val="0"/>
        <w:i w:val="0"/>
        <w:sz w:val="24"/>
      </w:rPr>
    </w:lvl>
    <w:lvl w:ilvl="3">
      <w:start w:val="1"/>
      <w:numFmt w:val="decimal"/>
      <w:pStyle w:val="UMberschrift4num-Arial-12pt"/>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4" w15:restartNumberingAfterBreak="0">
    <w:nsid w:val="4DF916D7"/>
    <w:multiLevelType w:val="hybridMultilevel"/>
    <w:tmpl w:val="F1DABAEC"/>
    <w:lvl w:ilvl="0" w:tplc="E47C1262">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4756F"/>
    <w:multiLevelType w:val="hybridMultilevel"/>
    <w:tmpl w:val="6E1A49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2F843AA"/>
    <w:multiLevelType w:val="hybridMultilevel"/>
    <w:tmpl w:val="1D30FD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37D18B6"/>
    <w:multiLevelType w:val="hybridMultilevel"/>
    <w:tmpl w:val="843EC928"/>
    <w:lvl w:ilvl="0" w:tplc="04070001">
      <w:start w:val="1"/>
      <w:numFmt w:val="bullet"/>
      <w:lvlText w:val=""/>
      <w:lvlJc w:val="left"/>
      <w:pPr>
        <w:ind w:left="70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59207EA"/>
    <w:multiLevelType w:val="hybridMultilevel"/>
    <w:tmpl w:val="A1ACC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9357E76"/>
    <w:multiLevelType w:val="hybridMultilevel"/>
    <w:tmpl w:val="3C2001B8"/>
    <w:lvl w:ilvl="0" w:tplc="8F2CF71C">
      <w:start w:val="1"/>
      <w:numFmt w:val="decimal"/>
      <w:lvlRestart w:val="0"/>
      <w:pStyle w:val="BW2Nummeriert"/>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F60310"/>
    <w:multiLevelType w:val="hybridMultilevel"/>
    <w:tmpl w:val="4A88A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3E499C"/>
    <w:multiLevelType w:val="hybridMultilevel"/>
    <w:tmpl w:val="42147562"/>
    <w:lvl w:ilvl="0" w:tplc="CCBE0A64">
      <w:start w:val="1"/>
      <w:numFmt w:val="bullet"/>
      <w:lvlText w:val=""/>
      <w:lvlJc w:val="left"/>
      <w:pPr>
        <w:ind w:left="1068" w:hanging="360"/>
      </w:pPr>
      <w:rPr>
        <w:rFonts w:ascii="Symbol" w:hAnsi="Symbol" w:hint="default"/>
        <w:b w:val="0"/>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2" w15:restartNumberingAfterBreak="0">
    <w:nsid w:val="66F347F8"/>
    <w:multiLevelType w:val="hybridMultilevel"/>
    <w:tmpl w:val="75FCD490"/>
    <w:lvl w:ilvl="0" w:tplc="A464FF88">
      <w:start w:val="1"/>
      <w:numFmt w:val="bullet"/>
      <w:lvlRestart w:val="0"/>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8997115"/>
    <w:multiLevelType w:val="hybridMultilevel"/>
    <w:tmpl w:val="15720B1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6954023C"/>
    <w:multiLevelType w:val="hybridMultilevel"/>
    <w:tmpl w:val="BE2AF898"/>
    <w:lvl w:ilvl="0" w:tplc="A680141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6C3A43E5"/>
    <w:multiLevelType w:val="hybridMultilevel"/>
    <w:tmpl w:val="D8CEF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C6F2BE0"/>
    <w:multiLevelType w:val="hybridMultilevel"/>
    <w:tmpl w:val="3E34C12C"/>
    <w:lvl w:ilvl="0" w:tplc="75D2896E">
      <w:start w:val="1"/>
      <w:numFmt w:val="bullet"/>
      <w:lvlRestart w:val="0"/>
      <w:pStyle w:val="BW2Aufzhlung"/>
      <w:lvlText w:val=""/>
      <w:lvlJc w:val="left"/>
      <w:pPr>
        <w:tabs>
          <w:tab w:val="num" w:pos="0"/>
        </w:tabs>
        <w:ind w:left="1417"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F6F49B3"/>
    <w:multiLevelType w:val="multilevel"/>
    <w:tmpl w:val="31CCDC92"/>
    <w:lvl w:ilvl="0">
      <w:start w:val="3"/>
      <w:numFmt w:val="decimal"/>
      <w:lvlText w:val="%1"/>
      <w:lvlJc w:val="left"/>
      <w:pPr>
        <w:ind w:left="465" w:hanging="465"/>
      </w:pPr>
      <w:rPr>
        <w:rFonts w:hint="default"/>
      </w:rPr>
    </w:lvl>
    <w:lvl w:ilvl="1">
      <w:start w:val="51"/>
      <w:numFmt w:val="decimal"/>
      <w:lvlText w:val="%1.%2"/>
      <w:lvlJc w:val="left"/>
      <w:pPr>
        <w:ind w:left="1315" w:hanging="46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48" w15:restartNumberingAfterBreak="0">
    <w:nsid w:val="70176C27"/>
    <w:multiLevelType w:val="hybridMultilevel"/>
    <w:tmpl w:val="A04E41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5535510"/>
    <w:multiLevelType w:val="hybridMultilevel"/>
    <w:tmpl w:val="E382980E"/>
    <w:lvl w:ilvl="0" w:tplc="2650587C">
      <w:start w:val="1"/>
      <w:numFmt w:val="bullet"/>
      <w:pStyle w:val="U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5CE34D7"/>
    <w:multiLevelType w:val="hybridMultilevel"/>
    <w:tmpl w:val="45A2B3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DEA59A1"/>
    <w:multiLevelType w:val="hybridMultilevel"/>
    <w:tmpl w:val="8416CD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F2A3FB2"/>
    <w:multiLevelType w:val="hybridMultilevel"/>
    <w:tmpl w:val="B7EA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9236986">
    <w:abstractNumId w:val="7"/>
  </w:num>
  <w:num w:numId="2" w16cid:durableId="1660190459">
    <w:abstractNumId w:val="12"/>
  </w:num>
  <w:num w:numId="3" w16cid:durableId="1766459552">
    <w:abstractNumId w:val="26"/>
  </w:num>
  <w:num w:numId="4" w16cid:durableId="296493988">
    <w:abstractNumId w:val="49"/>
  </w:num>
  <w:num w:numId="5" w16cid:durableId="255216165">
    <w:abstractNumId w:val="33"/>
    <w:lvlOverride w:ilvl="1">
      <w:lvl w:ilvl="1">
        <w:start w:val="1"/>
        <w:numFmt w:val="decimal"/>
        <w:pStyle w:val="UMberschrift2num-Arial-12pt"/>
        <w:lvlText w:val="%1.%2"/>
        <w:lvlJc w:val="left"/>
        <w:pPr>
          <w:ind w:left="1021" w:hanging="1021"/>
        </w:pPr>
      </w:lvl>
    </w:lvlOverride>
    <w:lvlOverride w:ilvl="2">
      <w:lvl w:ilvl="2">
        <w:start w:val="1"/>
        <w:numFmt w:val="decimal"/>
        <w:pStyle w:val="UMberschrift3num-Arial-12pt"/>
        <w:lvlText w:val="%1.%2.%3"/>
        <w:lvlJc w:val="left"/>
        <w:pPr>
          <w:ind w:left="1021" w:hanging="1021"/>
        </w:pPr>
        <w:rPr>
          <w:rFonts w:ascii="Arial" w:hAnsi="Arial" w:hint="default"/>
          <w:b/>
          <w:bCs w:val="0"/>
          <w:i w:val="0"/>
          <w:sz w:val="24"/>
        </w:rPr>
      </w:lvl>
    </w:lvlOverride>
  </w:num>
  <w:num w:numId="6" w16cid:durableId="257565190">
    <w:abstractNumId w:val="22"/>
  </w:num>
  <w:num w:numId="7" w16cid:durableId="1740590606">
    <w:abstractNumId w:val="21"/>
  </w:num>
  <w:num w:numId="8" w16cid:durableId="1555965346">
    <w:abstractNumId w:val="5"/>
  </w:num>
  <w:num w:numId="9" w16cid:durableId="690568738">
    <w:abstractNumId w:val="36"/>
  </w:num>
  <w:num w:numId="10" w16cid:durableId="1178931079">
    <w:abstractNumId w:val="11"/>
  </w:num>
  <w:num w:numId="11" w16cid:durableId="655955216">
    <w:abstractNumId w:val="8"/>
  </w:num>
  <w:num w:numId="12" w16cid:durableId="436559574">
    <w:abstractNumId w:val="31"/>
  </w:num>
  <w:num w:numId="13" w16cid:durableId="1571966480">
    <w:abstractNumId w:val="3"/>
  </w:num>
  <w:num w:numId="14" w16cid:durableId="948127294">
    <w:abstractNumId w:val="51"/>
  </w:num>
  <w:num w:numId="15" w16cid:durableId="259919429">
    <w:abstractNumId w:val="6"/>
  </w:num>
  <w:num w:numId="16" w16cid:durableId="1026907227">
    <w:abstractNumId w:val="41"/>
  </w:num>
  <w:num w:numId="17" w16cid:durableId="837185187">
    <w:abstractNumId w:val="37"/>
  </w:num>
  <w:num w:numId="18" w16cid:durableId="1492015919">
    <w:abstractNumId w:val="46"/>
  </w:num>
  <w:num w:numId="19" w16cid:durableId="1749501185">
    <w:abstractNumId w:val="39"/>
  </w:num>
  <w:num w:numId="20" w16cid:durableId="867178735">
    <w:abstractNumId w:val="9"/>
  </w:num>
  <w:num w:numId="21" w16cid:durableId="1634017079">
    <w:abstractNumId w:val="13"/>
  </w:num>
  <w:num w:numId="22" w16cid:durableId="383219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05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1007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8528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6578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7200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969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8458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276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7217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98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1039018">
    <w:abstractNumId w:val="30"/>
  </w:num>
  <w:num w:numId="34" w16cid:durableId="1737581286">
    <w:abstractNumId w:val="15"/>
  </w:num>
  <w:num w:numId="35" w16cid:durableId="647713544">
    <w:abstractNumId w:val="32"/>
  </w:num>
  <w:num w:numId="36" w16cid:durableId="855273275">
    <w:abstractNumId w:val="16"/>
  </w:num>
  <w:num w:numId="37" w16cid:durableId="202713490">
    <w:abstractNumId w:val="42"/>
  </w:num>
  <w:num w:numId="38" w16cid:durableId="330719797">
    <w:abstractNumId w:val="10"/>
  </w:num>
  <w:num w:numId="39" w16cid:durableId="862790448">
    <w:abstractNumId w:val="34"/>
  </w:num>
  <w:num w:numId="40" w16cid:durableId="2130856200">
    <w:abstractNumId w:val="24"/>
  </w:num>
  <w:num w:numId="41" w16cid:durableId="1841457904">
    <w:abstractNumId w:val="4"/>
  </w:num>
  <w:num w:numId="42" w16cid:durableId="1287539202">
    <w:abstractNumId w:val="14"/>
  </w:num>
  <w:num w:numId="43" w16cid:durableId="646587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512926">
    <w:abstractNumId w:val="2"/>
  </w:num>
  <w:num w:numId="45" w16cid:durableId="5867703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3269847">
    <w:abstractNumId w:val="27"/>
  </w:num>
  <w:num w:numId="47" w16cid:durableId="324164173">
    <w:abstractNumId w:val="28"/>
  </w:num>
  <w:num w:numId="48" w16cid:durableId="702560183">
    <w:abstractNumId w:val="25"/>
  </w:num>
  <w:num w:numId="49" w16cid:durableId="810758113">
    <w:abstractNumId w:val="44"/>
  </w:num>
  <w:num w:numId="50" w16cid:durableId="431556988">
    <w:abstractNumId w:val="23"/>
  </w:num>
  <w:num w:numId="51" w16cid:durableId="1761363670">
    <w:abstractNumId w:val="48"/>
  </w:num>
  <w:num w:numId="52" w16cid:durableId="370306862">
    <w:abstractNumId w:val="43"/>
  </w:num>
  <w:num w:numId="53" w16cid:durableId="465322610">
    <w:abstractNumId w:val="45"/>
  </w:num>
  <w:num w:numId="54" w16cid:durableId="53823151">
    <w:abstractNumId w:val="52"/>
  </w:num>
  <w:num w:numId="55" w16cid:durableId="411005032">
    <w:abstractNumId w:val="18"/>
  </w:num>
  <w:num w:numId="56" w16cid:durableId="744500132">
    <w:abstractNumId w:val="1"/>
  </w:num>
  <w:num w:numId="57" w16cid:durableId="1482119949">
    <w:abstractNumId w:val="38"/>
  </w:num>
  <w:num w:numId="58" w16cid:durableId="1697730455">
    <w:abstractNumId w:val="19"/>
  </w:num>
  <w:num w:numId="59" w16cid:durableId="592863496">
    <w:abstractNumId w:val="29"/>
  </w:num>
  <w:num w:numId="60" w16cid:durableId="940723624">
    <w:abstractNumId w:val="47"/>
  </w:num>
  <w:num w:numId="61" w16cid:durableId="1580018651">
    <w:abstractNumId w:val="35"/>
  </w:num>
  <w:num w:numId="62" w16cid:durableId="824131999">
    <w:abstractNumId w:val="20"/>
  </w:num>
  <w:num w:numId="63" w16cid:durableId="1305695795">
    <w:abstractNumId w:val="20"/>
  </w:num>
  <w:num w:numId="64" w16cid:durableId="933785238">
    <w:abstractNumId w:val="20"/>
  </w:num>
  <w:num w:numId="65" w16cid:durableId="1436024836">
    <w:abstractNumId w:val="20"/>
  </w:num>
  <w:num w:numId="66" w16cid:durableId="1626109890">
    <w:abstractNumId w:val="20"/>
  </w:num>
  <w:num w:numId="67" w16cid:durableId="1497988217">
    <w:abstractNumId w:val="0"/>
  </w:num>
  <w:num w:numId="68" w16cid:durableId="804658089">
    <w:abstractNumId w:val="40"/>
  </w:num>
  <w:num w:numId="69" w16cid:durableId="1397125987">
    <w:abstractNumId w:val="20"/>
  </w:num>
  <w:num w:numId="70" w16cid:durableId="1286039109">
    <w:abstractNumId w:val="50"/>
  </w:num>
  <w:num w:numId="71" w16cid:durableId="1885366864">
    <w:abstractNumId w:val="17"/>
  </w:num>
  <w:num w:numId="72" w16cid:durableId="105123458">
    <w:abstractNumId w:val="20"/>
  </w:num>
  <w:num w:numId="73" w16cid:durableId="1808550510">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A52F01B-ED12-4C5C-9493-83CB2FD26581}"/>
    <w:docVar w:name="dgnword-eventsink" w:val="2368370726192"/>
  </w:docVars>
  <w:rsids>
    <w:rsidRoot w:val="0016672A"/>
    <w:rsid w:val="000034F1"/>
    <w:rsid w:val="000058E4"/>
    <w:rsid w:val="00006D94"/>
    <w:rsid w:val="0001130F"/>
    <w:rsid w:val="00011AE7"/>
    <w:rsid w:val="000161EB"/>
    <w:rsid w:val="000170D0"/>
    <w:rsid w:val="000252C2"/>
    <w:rsid w:val="00033850"/>
    <w:rsid w:val="00034EDD"/>
    <w:rsid w:val="00036625"/>
    <w:rsid w:val="00036B49"/>
    <w:rsid w:val="00042633"/>
    <w:rsid w:val="00042768"/>
    <w:rsid w:val="00043763"/>
    <w:rsid w:val="00046E9C"/>
    <w:rsid w:val="00050614"/>
    <w:rsid w:val="00050D3B"/>
    <w:rsid w:val="00051577"/>
    <w:rsid w:val="00054A4B"/>
    <w:rsid w:val="000563E9"/>
    <w:rsid w:val="00056CD4"/>
    <w:rsid w:val="0006111E"/>
    <w:rsid w:val="0006400D"/>
    <w:rsid w:val="00064DB5"/>
    <w:rsid w:val="000715D7"/>
    <w:rsid w:val="00071A3D"/>
    <w:rsid w:val="00082519"/>
    <w:rsid w:val="000831FC"/>
    <w:rsid w:val="00087A36"/>
    <w:rsid w:val="0009178C"/>
    <w:rsid w:val="00092ED7"/>
    <w:rsid w:val="00093BF6"/>
    <w:rsid w:val="00094283"/>
    <w:rsid w:val="00096E23"/>
    <w:rsid w:val="000974BE"/>
    <w:rsid w:val="000A0CE4"/>
    <w:rsid w:val="000A1C7F"/>
    <w:rsid w:val="000A4544"/>
    <w:rsid w:val="000B0231"/>
    <w:rsid w:val="000B080E"/>
    <w:rsid w:val="000B14D1"/>
    <w:rsid w:val="000B1513"/>
    <w:rsid w:val="000B4A89"/>
    <w:rsid w:val="000B775C"/>
    <w:rsid w:val="000B7FE4"/>
    <w:rsid w:val="000C0FC8"/>
    <w:rsid w:val="000C101C"/>
    <w:rsid w:val="000C1374"/>
    <w:rsid w:val="000C26BF"/>
    <w:rsid w:val="000C33C5"/>
    <w:rsid w:val="000C3498"/>
    <w:rsid w:val="000C3EA5"/>
    <w:rsid w:val="000C500C"/>
    <w:rsid w:val="000C5115"/>
    <w:rsid w:val="000D10F2"/>
    <w:rsid w:val="000D4C93"/>
    <w:rsid w:val="000D5710"/>
    <w:rsid w:val="000D5733"/>
    <w:rsid w:val="000D64DD"/>
    <w:rsid w:val="000D6709"/>
    <w:rsid w:val="000E2953"/>
    <w:rsid w:val="000E34DC"/>
    <w:rsid w:val="000E5A0D"/>
    <w:rsid w:val="000E714C"/>
    <w:rsid w:val="000E7662"/>
    <w:rsid w:val="000F08D8"/>
    <w:rsid w:val="000F1F36"/>
    <w:rsid w:val="000F1F53"/>
    <w:rsid w:val="000F26B0"/>
    <w:rsid w:val="000F417E"/>
    <w:rsid w:val="000F47D3"/>
    <w:rsid w:val="000F6C1B"/>
    <w:rsid w:val="00105A82"/>
    <w:rsid w:val="0010795E"/>
    <w:rsid w:val="0011040E"/>
    <w:rsid w:val="0011122A"/>
    <w:rsid w:val="001115C4"/>
    <w:rsid w:val="001126FE"/>
    <w:rsid w:val="00112ACC"/>
    <w:rsid w:val="00114A0A"/>
    <w:rsid w:val="00115791"/>
    <w:rsid w:val="00116D58"/>
    <w:rsid w:val="0011784A"/>
    <w:rsid w:val="00122794"/>
    <w:rsid w:val="00122CD9"/>
    <w:rsid w:val="00123A80"/>
    <w:rsid w:val="00126E2D"/>
    <w:rsid w:val="00127E91"/>
    <w:rsid w:val="00127F1E"/>
    <w:rsid w:val="00130E94"/>
    <w:rsid w:val="001311D3"/>
    <w:rsid w:val="00131F33"/>
    <w:rsid w:val="00140668"/>
    <w:rsid w:val="00140974"/>
    <w:rsid w:val="001523A5"/>
    <w:rsid w:val="00153D65"/>
    <w:rsid w:val="00153FE8"/>
    <w:rsid w:val="001579F7"/>
    <w:rsid w:val="00163249"/>
    <w:rsid w:val="00163332"/>
    <w:rsid w:val="00164014"/>
    <w:rsid w:val="0016672A"/>
    <w:rsid w:val="0016673F"/>
    <w:rsid w:val="001739C9"/>
    <w:rsid w:val="00174194"/>
    <w:rsid w:val="001810B6"/>
    <w:rsid w:val="00181208"/>
    <w:rsid w:val="0018141D"/>
    <w:rsid w:val="00181445"/>
    <w:rsid w:val="0018203B"/>
    <w:rsid w:val="00182897"/>
    <w:rsid w:val="00184F47"/>
    <w:rsid w:val="00187D3E"/>
    <w:rsid w:val="00192C16"/>
    <w:rsid w:val="001934A0"/>
    <w:rsid w:val="00193D9A"/>
    <w:rsid w:val="00195FFF"/>
    <w:rsid w:val="001965CA"/>
    <w:rsid w:val="001A17C4"/>
    <w:rsid w:val="001A3CD2"/>
    <w:rsid w:val="001A4549"/>
    <w:rsid w:val="001B02D6"/>
    <w:rsid w:val="001B18B7"/>
    <w:rsid w:val="001B2D5A"/>
    <w:rsid w:val="001B6177"/>
    <w:rsid w:val="001C2A35"/>
    <w:rsid w:val="001C3373"/>
    <w:rsid w:val="001C57DA"/>
    <w:rsid w:val="001C5F77"/>
    <w:rsid w:val="001C7B5B"/>
    <w:rsid w:val="001D3A74"/>
    <w:rsid w:val="001E04EB"/>
    <w:rsid w:val="001E0668"/>
    <w:rsid w:val="001E5CFF"/>
    <w:rsid w:val="001E7368"/>
    <w:rsid w:val="001F025E"/>
    <w:rsid w:val="001F03D6"/>
    <w:rsid w:val="001F1AE1"/>
    <w:rsid w:val="001F3D55"/>
    <w:rsid w:val="001F50F3"/>
    <w:rsid w:val="001F6239"/>
    <w:rsid w:val="00201E31"/>
    <w:rsid w:val="00202F5E"/>
    <w:rsid w:val="002065C3"/>
    <w:rsid w:val="002066FD"/>
    <w:rsid w:val="002166D1"/>
    <w:rsid w:val="00217768"/>
    <w:rsid w:val="0022011C"/>
    <w:rsid w:val="00221182"/>
    <w:rsid w:val="002212FD"/>
    <w:rsid w:val="00221881"/>
    <w:rsid w:val="0022397D"/>
    <w:rsid w:val="00223E21"/>
    <w:rsid w:val="00226B84"/>
    <w:rsid w:val="0022797B"/>
    <w:rsid w:val="00240234"/>
    <w:rsid w:val="0024089C"/>
    <w:rsid w:val="0024325C"/>
    <w:rsid w:val="002444B1"/>
    <w:rsid w:val="002448CB"/>
    <w:rsid w:val="00245109"/>
    <w:rsid w:val="00247759"/>
    <w:rsid w:val="00254F87"/>
    <w:rsid w:val="00255441"/>
    <w:rsid w:val="002562D0"/>
    <w:rsid w:val="00265BEF"/>
    <w:rsid w:val="00270940"/>
    <w:rsid w:val="0027181D"/>
    <w:rsid w:val="00273152"/>
    <w:rsid w:val="002768BF"/>
    <w:rsid w:val="0027695F"/>
    <w:rsid w:val="00280A94"/>
    <w:rsid w:val="002828CF"/>
    <w:rsid w:val="00284F5F"/>
    <w:rsid w:val="00285008"/>
    <w:rsid w:val="00285E05"/>
    <w:rsid w:val="002943C9"/>
    <w:rsid w:val="00296DCB"/>
    <w:rsid w:val="002A53E7"/>
    <w:rsid w:val="002A56A2"/>
    <w:rsid w:val="002B104C"/>
    <w:rsid w:val="002B11B0"/>
    <w:rsid w:val="002C2ACB"/>
    <w:rsid w:val="002C47AD"/>
    <w:rsid w:val="002C516D"/>
    <w:rsid w:val="002C7D44"/>
    <w:rsid w:val="002D7958"/>
    <w:rsid w:val="002E0700"/>
    <w:rsid w:val="002E0A8E"/>
    <w:rsid w:val="002E0C70"/>
    <w:rsid w:val="002E13A2"/>
    <w:rsid w:val="002E51AF"/>
    <w:rsid w:val="002F52D1"/>
    <w:rsid w:val="002F63A1"/>
    <w:rsid w:val="002F7303"/>
    <w:rsid w:val="003019D3"/>
    <w:rsid w:val="00302F68"/>
    <w:rsid w:val="00303CB6"/>
    <w:rsid w:val="00305397"/>
    <w:rsid w:val="003057D0"/>
    <w:rsid w:val="00306BB6"/>
    <w:rsid w:val="003105B2"/>
    <w:rsid w:val="00312EBB"/>
    <w:rsid w:val="00313E18"/>
    <w:rsid w:val="00316F18"/>
    <w:rsid w:val="0031762E"/>
    <w:rsid w:val="0032028C"/>
    <w:rsid w:val="003232B2"/>
    <w:rsid w:val="00326507"/>
    <w:rsid w:val="00327010"/>
    <w:rsid w:val="003358EC"/>
    <w:rsid w:val="003419B3"/>
    <w:rsid w:val="00343D1C"/>
    <w:rsid w:val="00344391"/>
    <w:rsid w:val="003454C6"/>
    <w:rsid w:val="00346764"/>
    <w:rsid w:val="00347C2C"/>
    <w:rsid w:val="00347ED2"/>
    <w:rsid w:val="00350326"/>
    <w:rsid w:val="00351F10"/>
    <w:rsid w:val="0035255F"/>
    <w:rsid w:val="00363B5A"/>
    <w:rsid w:val="00363FDC"/>
    <w:rsid w:val="00364F83"/>
    <w:rsid w:val="00365A71"/>
    <w:rsid w:val="00371457"/>
    <w:rsid w:val="00372DBE"/>
    <w:rsid w:val="00372DE1"/>
    <w:rsid w:val="00374D38"/>
    <w:rsid w:val="00375267"/>
    <w:rsid w:val="003754CF"/>
    <w:rsid w:val="00376D6E"/>
    <w:rsid w:val="00377081"/>
    <w:rsid w:val="00382B05"/>
    <w:rsid w:val="003847D7"/>
    <w:rsid w:val="00384E8D"/>
    <w:rsid w:val="00385A17"/>
    <w:rsid w:val="00392030"/>
    <w:rsid w:val="00393E9C"/>
    <w:rsid w:val="003946F9"/>
    <w:rsid w:val="00394DB3"/>
    <w:rsid w:val="0039705B"/>
    <w:rsid w:val="003A56EB"/>
    <w:rsid w:val="003A57F7"/>
    <w:rsid w:val="003A6E60"/>
    <w:rsid w:val="003A7EAD"/>
    <w:rsid w:val="003B2078"/>
    <w:rsid w:val="003B408F"/>
    <w:rsid w:val="003B6A92"/>
    <w:rsid w:val="003C0623"/>
    <w:rsid w:val="003C09C9"/>
    <w:rsid w:val="003C597D"/>
    <w:rsid w:val="003C7AEC"/>
    <w:rsid w:val="003D17CF"/>
    <w:rsid w:val="003D1ADD"/>
    <w:rsid w:val="003D2C3F"/>
    <w:rsid w:val="003D3002"/>
    <w:rsid w:val="003D426F"/>
    <w:rsid w:val="003D4378"/>
    <w:rsid w:val="003D4715"/>
    <w:rsid w:val="003D5A04"/>
    <w:rsid w:val="003D6533"/>
    <w:rsid w:val="003D6CD3"/>
    <w:rsid w:val="003E14AB"/>
    <w:rsid w:val="003E2091"/>
    <w:rsid w:val="003E21AF"/>
    <w:rsid w:val="003E2813"/>
    <w:rsid w:val="003E38A6"/>
    <w:rsid w:val="003E47F0"/>
    <w:rsid w:val="003E6404"/>
    <w:rsid w:val="003E7961"/>
    <w:rsid w:val="003F220B"/>
    <w:rsid w:val="003F670A"/>
    <w:rsid w:val="0040135A"/>
    <w:rsid w:val="00401945"/>
    <w:rsid w:val="0040234D"/>
    <w:rsid w:val="0040566C"/>
    <w:rsid w:val="004058C2"/>
    <w:rsid w:val="004114AC"/>
    <w:rsid w:val="00414657"/>
    <w:rsid w:val="0041575D"/>
    <w:rsid w:val="00416802"/>
    <w:rsid w:val="004170C0"/>
    <w:rsid w:val="0041745B"/>
    <w:rsid w:val="00422FC4"/>
    <w:rsid w:val="0042329E"/>
    <w:rsid w:val="004247EF"/>
    <w:rsid w:val="00424FD1"/>
    <w:rsid w:val="004253B9"/>
    <w:rsid w:val="00425418"/>
    <w:rsid w:val="00426B10"/>
    <w:rsid w:val="0042739B"/>
    <w:rsid w:val="004279F4"/>
    <w:rsid w:val="00431CEA"/>
    <w:rsid w:val="00437BD3"/>
    <w:rsid w:val="00440393"/>
    <w:rsid w:val="0044214B"/>
    <w:rsid w:val="0044449F"/>
    <w:rsid w:val="004449A7"/>
    <w:rsid w:val="0044528E"/>
    <w:rsid w:val="004467EC"/>
    <w:rsid w:val="00447103"/>
    <w:rsid w:val="00447839"/>
    <w:rsid w:val="004506CE"/>
    <w:rsid w:val="00457BC2"/>
    <w:rsid w:val="004657E7"/>
    <w:rsid w:val="00465E0E"/>
    <w:rsid w:val="00466475"/>
    <w:rsid w:val="004666D1"/>
    <w:rsid w:val="0047510D"/>
    <w:rsid w:val="0047718E"/>
    <w:rsid w:val="00481004"/>
    <w:rsid w:val="00481E49"/>
    <w:rsid w:val="00483B9B"/>
    <w:rsid w:val="004857B4"/>
    <w:rsid w:val="0048684C"/>
    <w:rsid w:val="00496614"/>
    <w:rsid w:val="00496675"/>
    <w:rsid w:val="004A3CBE"/>
    <w:rsid w:val="004A4D5F"/>
    <w:rsid w:val="004A6A35"/>
    <w:rsid w:val="004A7995"/>
    <w:rsid w:val="004A7F05"/>
    <w:rsid w:val="004B09B6"/>
    <w:rsid w:val="004B244F"/>
    <w:rsid w:val="004C43DD"/>
    <w:rsid w:val="004C7B03"/>
    <w:rsid w:val="004D1B76"/>
    <w:rsid w:val="004D2928"/>
    <w:rsid w:val="004D3864"/>
    <w:rsid w:val="004D4984"/>
    <w:rsid w:val="004D4D41"/>
    <w:rsid w:val="004D63A0"/>
    <w:rsid w:val="004D7CD9"/>
    <w:rsid w:val="004E4224"/>
    <w:rsid w:val="004E4BDF"/>
    <w:rsid w:val="004E4CC7"/>
    <w:rsid w:val="004E51E0"/>
    <w:rsid w:val="004E5595"/>
    <w:rsid w:val="004E5C80"/>
    <w:rsid w:val="004E7E59"/>
    <w:rsid w:val="004F0DE1"/>
    <w:rsid w:val="004F29CE"/>
    <w:rsid w:val="004F3842"/>
    <w:rsid w:val="004F5BFF"/>
    <w:rsid w:val="004F70E3"/>
    <w:rsid w:val="00501629"/>
    <w:rsid w:val="0051143B"/>
    <w:rsid w:val="00515A39"/>
    <w:rsid w:val="00515E6A"/>
    <w:rsid w:val="005164B5"/>
    <w:rsid w:val="00521DB1"/>
    <w:rsid w:val="005226A9"/>
    <w:rsid w:val="005244DD"/>
    <w:rsid w:val="005312A2"/>
    <w:rsid w:val="00532104"/>
    <w:rsid w:val="00534FD3"/>
    <w:rsid w:val="00535BA9"/>
    <w:rsid w:val="005403DB"/>
    <w:rsid w:val="00541F95"/>
    <w:rsid w:val="00551948"/>
    <w:rsid w:val="00555117"/>
    <w:rsid w:val="005559F6"/>
    <w:rsid w:val="0055661E"/>
    <w:rsid w:val="00557DFE"/>
    <w:rsid w:val="005652BF"/>
    <w:rsid w:val="00566560"/>
    <w:rsid w:val="005701A1"/>
    <w:rsid w:val="005812C1"/>
    <w:rsid w:val="00581436"/>
    <w:rsid w:val="00586212"/>
    <w:rsid w:val="00586C0C"/>
    <w:rsid w:val="00587725"/>
    <w:rsid w:val="005879A9"/>
    <w:rsid w:val="00587B04"/>
    <w:rsid w:val="005904EB"/>
    <w:rsid w:val="00590B2F"/>
    <w:rsid w:val="005912B3"/>
    <w:rsid w:val="00591FD4"/>
    <w:rsid w:val="005920E5"/>
    <w:rsid w:val="005925AC"/>
    <w:rsid w:val="0059600B"/>
    <w:rsid w:val="00596BAD"/>
    <w:rsid w:val="00597F9A"/>
    <w:rsid w:val="005A156A"/>
    <w:rsid w:val="005A623F"/>
    <w:rsid w:val="005A64BB"/>
    <w:rsid w:val="005A70BA"/>
    <w:rsid w:val="005A767E"/>
    <w:rsid w:val="005A7A2F"/>
    <w:rsid w:val="005B12C2"/>
    <w:rsid w:val="005B3AFA"/>
    <w:rsid w:val="005B4A42"/>
    <w:rsid w:val="005B5C0A"/>
    <w:rsid w:val="005B7403"/>
    <w:rsid w:val="005B7AA2"/>
    <w:rsid w:val="005C022D"/>
    <w:rsid w:val="005C065C"/>
    <w:rsid w:val="005C077B"/>
    <w:rsid w:val="005C3413"/>
    <w:rsid w:val="005C5D1D"/>
    <w:rsid w:val="005C63FA"/>
    <w:rsid w:val="005C680E"/>
    <w:rsid w:val="005C6EF7"/>
    <w:rsid w:val="005D08C0"/>
    <w:rsid w:val="005D0DF7"/>
    <w:rsid w:val="005D6918"/>
    <w:rsid w:val="005E3852"/>
    <w:rsid w:val="005E43A4"/>
    <w:rsid w:val="005E69E6"/>
    <w:rsid w:val="005F0B0C"/>
    <w:rsid w:val="005F6472"/>
    <w:rsid w:val="005F75C3"/>
    <w:rsid w:val="0060008F"/>
    <w:rsid w:val="0060600F"/>
    <w:rsid w:val="00606D1A"/>
    <w:rsid w:val="00611221"/>
    <w:rsid w:val="00614449"/>
    <w:rsid w:val="00615693"/>
    <w:rsid w:val="0061658D"/>
    <w:rsid w:val="006228FF"/>
    <w:rsid w:val="006278A8"/>
    <w:rsid w:val="0063164B"/>
    <w:rsid w:val="0063297A"/>
    <w:rsid w:val="00633499"/>
    <w:rsid w:val="00636E60"/>
    <w:rsid w:val="00636F2E"/>
    <w:rsid w:val="00637541"/>
    <w:rsid w:val="006400CF"/>
    <w:rsid w:val="00640A1D"/>
    <w:rsid w:val="00641D84"/>
    <w:rsid w:val="00644006"/>
    <w:rsid w:val="006466C1"/>
    <w:rsid w:val="0064746B"/>
    <w:rsid w:val="00647DAC"/>
    <w:rsid w:val="00650335"/>
    <w:rsid w:val="00650BC3"/>
    <w:rsid w:val="00661E63"/>
    <w:rsid w:val="006624A9"/>
    <w:rsid w:val="006668D4"/>
    <w:rsid w:val="00667792"/>
    <w:rsid w:val="006701BC"/>
    <w:rsid w:val="006716BE"/>
    <w:rsid w:val="00681BEC"/>
    <w:rsid w:val="00685B7E"/>
    <w:rsid w:val="00685C2A"/>
    <w:rsid w:val="006873CA"/>
    <w:rsid w:val="00692D37"/>
    <w:rsid w:val="00693381"/>
    <w:rsid w:val="00693834"/>
    <w:rsid w:val="00697925"/>
    <w:rsid w:val="006A316F"/>
    <w:rsid w:val="006A4598"/>
    <w:rsid w:val="006A5ACF"/>
    <w:rsid w:val="006B0F9F"/>
    <w:rsid w:val="006B3F15"/>
    <w:rsid w:val="006B5CCC"/>
    <w:rsid w:val="006B63D3"/>
    <w:rsid w:val="006C05DF"/>
    <w:rsid w:val="006C12DC"/>
    <w:rsid w:val="006C14FE"/>
    <w:rsid w:val="006C39BC"/>
    <w:rsid w:val="006C47D1"/>
    <w:rsid w:val="006C4A32"/>
    <w:rsid w:val="006C5C41"/>
    <w:rsid w:val="006D0F74"/>
    <w:rsid w:val="006D1186"/>
    <w:rsid w:val="006D1775"/>
    <w:rsid w:val="006D38B2"/>
    <w:rsid w:val="006D60AC"/>
    <w:rsid w:val="006D7484"/>
    <w:rsid w:val="006F02C5"/>
    <w:rsid w:val="006F5464"/>
    <w:rsid w:val="007001DD"/>
    <w:rsid w:val="00703B43"/>
    <w:rsid w:val="00710EDA"/>
    <w:rsid w:val="007115D8"/>
    <w:rsid w:val="00712EFA"/>
    <w:rsid w:val="00713248"/>
    <w:rsid w:val="00713475"/>
    <w:rsid w:val="007138F1"/>
    <w:rsid w:val="00713E46"/>
    <w:rsid w:val="00720992"/>
    <w:rsid w:val="00721ACA"/>
    <w:rsid w:val="00726826"/>
    <w:rsid w:val="00733104"/>
    <w:rsid w:val="007357CD"/>
    <w:rsid w:val="007373CB"/>
    <w:rsid w:val="007411DB"/>
    <w:rsid w:val="00741241"/>
    <w:rsid w:val="00746DE0"/>
    <w:rsid w:val="00751187"/>
    <w:rsid w:val="00752874"/>
    <w:rsid w:val="00752B27"/>
    <w:rsid w:val="0075567C"/>
    <w:rsid w:val="00755B86"/>
    <w:rsid w:val="00755D9A"/>
    <w:rsid w:val="00755E9E"/>
    <w:rsid w:val="0076076B"/>
    <w:rsid w:val="00761B42"/>
    <w:rsid w:val="00761B93"/>
    <w:rsid w:val="00762EF7"/>
    <w:rsid w:val="00763B9A"/>
    <w:rsid w:val="007665EC"/>
    <w:rsid w:val="0076724F"/>
    <w:rsid w:val="00767FCA"/>
    <w:rsid w:val="00772067"/>
    <w:rsid w:val="00773B15"/>
    <w:rsid w:val="007818B5"/>
    <w:rsid w:val="00782399"/>
    <w:rsid w:val="00784207"/>
    <w:rsid w:val="007845AC"/>
    <w:rsid w:val="007850AB"/>
    <w:rsid w:val="007946FE"/>
    <w:rsid w:val="0079600D"/>
    <w:rsid w:val="00796578"/>
    <w:rsid w:val="007A0C9D"/>
    <w:rsid w:val="007A1C7E"/>
    <w:rsid w:val="007A6726"/>
    <w:rsid w:val="007B1572"/>
    <w:rsid w:val="007B40A0"/>
    <w:rsid w:val="007B4409"/>
    <w:rsid w:val="007B4F16"/>
    <w:rsid w:val="007B50FD"/>
    <w:rsid w:val="007C06DC"/>
    <w:rsid w:val="007C235B"/>
    <w:rsid w:val="007C2A35"/>
    <w:rsid w:val="007C2F8C"/>
    <w:rsid w:val="007C4C8D"/>
    <w:rsid w:val="007C5596"/>
    <w:rsid w:val="007C59C0"/>
    <w:rsid w:val="007D3A55"/>
    <w:rsid w:val="007D3BB5"/>
    <w:rsid w:val="007D443E"/>
    <w:rsid w:val="007D70F6"/>
    <w:rsid w:val="007E54B5"/>
    <w:rsid w:val="007E58CB"/>
    <w:rsid w:val="007F1AF9"/>
    <w:rsid w:val="007F1B0E"/>
    <w:rsid w:val="007F4BFA"/>
    <w:rsid w:val="007F520D"/>
    <w:rsid w:val="007F5217"/>
    <w:rsid w:val="007F541A"/>
    <w:rsid w:val="00800A9F"/>
    <w:rsid w:val="008014B6"/>
    <w:rsid w:val="00803A54"/>
    <w:rsid w:val="0080439E"/>
    <w:rsid w:val="008044AC"/>
    <w:rsid w:val="00806519"/>
    <w:rsid w:val="008068E1"/>
    <w:rsid w:val="00807B29"/>
    <w:rsid w:val="00807B80"/>
    <w:rsid w:val="00811D9E"/>
    <w:rsid w:val="00812766"/>
    <w:rsid w:val="008129E6"/>
    <w:rsid w:val="00815116"/>
    <w:rsid w:val="00815AB9"/>
    <w:rsid w:val="00816047"/>
    <w:rsid w:val="00816759"/>
    <w:rsid w:val="00816A00"/>
    <w:rsid w:val="008202B6"/>
    <w:rsid w:val="0082128D"/>
    <w:rsid w:val="008227B0"/>
    <w:rsid w:val="008260CE"/>
    <w:rsid w:val="00826E03"/>
    <w:rsid w:val="008314A5"/>
    <w:rsid w:val="008319AC"/>
    <w:rsid w:val="0083203A"/>
    <w:rsid w:val="008322EE"/>
    <w:rsid w:val="0083328F"/>
    <w:rsid w:val="00834C94"/>
    <w:rsid w:val="008376CB"/>
    <w:rsid w:val="00837F3E"/>
    <w:rsid w:val="00840494"/>
    <w:rsid w:val="0085216A"/>
    <w:rsid w:val="00852B7C"/>
    <w:rsid w:val="00865959"/>
    <w:rsid w:val="00876EB1"/>
    <w:rsid w:val="0087732E"/>
    <w:rsid w:val="008816BB"/>
    <w:rsid w:val="008908AD"/>
    <w:rsid w:val="008916E4"/>
    <w:rsid w:val="00893BA9"/>
    <w:rsid w:val="008944EA"/>
    <w:rsid w:val="0089492F"/>
    <w:rsid w:val="0089741E"/>
    <w:rsid w:val="008A2417"/>
    <w:rsid w:val="008A3091"/>
    <w:rsid w:val="008A356D"/>
    <w:rsid w:val="008A4B3E"/>
    <w:rsid w:val="008A66FA"/>
    <w:rsid w:val="008B0DA3"/>
    <w:rsid w:val="008B0F80"/>
    <w:rsid w:val="008B14FD"/>
    <w:rsid w:val="008B54DB"/>
    <w:rsid w:val="008B5D06"/>
    <w:rsid w:val="008B61F6"/>
    <w:rsid w:val="008C5A61"/>
    <w:rsid w:val="008D11D6"/>
    <w:rsid w:val="008D1B00"/>
    <w:rsid w:val="008D40D3"/>
    <w:rsid w:val="008D4A7C"/>
    <w:rsid w:val="008D4F08"/>
    <w:rsid w:val="008D6A3C"/>
    <w:rsid w:val="008D7802"/>
    <w:rsid w:val="008E4336"/>
    <w:rsid w:val="008E4663"/>
    <w:rsid w:val="008E5CBA"/>
    <w:rsid w:val="008E5E34"/>
    <w:rsid w:val="008F239C"/>
    <w:rsid w:val="008F27B1"/>
    <w:rsid w:val="008F27D4"/>
    <w:rsid w:val="008F36FC"/>
    <w:rsid w:val="008F461D"/>
    <w:rsid w:val="008F467E"/>
    <w:rsid w:val="008F4E20"/>
    <w:rsid w:val="00902992"/>
    <w:rsid w:val="00902B62"/>
    <w:rsid w:val="00902DE6"/>
    <w:rsid w:val="00902E68"/>
    <w:rsid w:val="009037D8"/>
    <w:rsid w:val="0090475F"/>
    <w:rsid w:val="009065B4"/>
    <w:rsid w:val="0090692A"/>
    <w:rsid w:val="009114B6"/>
    <w:rsid w:val="00911909"/>
    <w:rsid w:val="009155B3"/>
    <w:rsid w:val="00920ABB"/>
    <w:rsid w:val="0092204C"/>
    <w:rsid w:val="00926F3C"/>
    <w:rsid w:val="00927775"/>
    <w:rsid w:val="00930228"/>
    <w:rsid w:val="009312E2"/>
    <w:rsid w:val="009345FF"/>
    <w:rsid w:val="00941354"/>
    <w:rsid w:val="0094454F"/>
    <w:rsid w:val="009456C5"/>
    <w:rsid w:val="00947029"/>
    <w:rsid w:val="00950BFD"/>
    <w:rsid w:val="009524EF"/>
    <w:rsid w:val="00953069"/>
    <w:rsid w:val="00954567"/>
    <w:rsid w:val="009548EC"/>
    <w:rsid w:val="009564C5"/>
    <w:rsid w:val="009571C2"/>
    <w:rsid w:val="009616CF"/>
    <w:rsid w:val="00962AC3"/>
    <w:rsid w:val="00963962"/>
    <w:rsid w:val="00963AF6"/>
    <w:rsid w:val="00967C20"/>
    <w:rsid w:val="00967F4B"/>
    <w:rsid w:val="00973741"/>
    <w:rsid w:val="00983492"/>
    <w:rsid w:val="009836A8"/>
    <w:rsid w:val="009918A9"/>
    <w:rsid w:val="00993244"/>
    <w:rsid w:val="0099485B"/>
    <w:rsid w:val="00997D42"/>
    <w:rsid w:val="009A1993"/>
    <w:rsid w:val="009A364D"/>
    <w:rsid w:val="009B0195"/>
    <w:rsid w:val="009B50E0"/>
    <w:rsid w:val="009C0028"/>
    <w:rsid w:val="009C069A"/>
    <w:rsid w:val="009C42D8"/>
    <w:rsid w:val="009C4E51"/>
    <w:rsid w:val="009C6827"/>
    <w:rsid w:val="009C6CDA"/>
    <w:rsid w:val="009D248C"/>
    <w:rsid w:val="009D39B0"/>
    <w:rsid w:val="009D449A"/>
    <w:rsid w:val="009D462B"/>
    <w:rsid w:val="009E23A3"/>
    <w:rsid w:val="009E2B76"/>
    <w:rsid w:val="009E2C2B"/>
    <w:rsid w:val="009E39A6"/>
    <w:rsid w:val="009E3ACA"/>
    <w:rsid w:val="009E4830"/>
    <w:rsid w:val="009E4ACF"/>
    <w:rsid w:val="009E6E69"/>
    <w:rsid w:val="009F0FAD"/>
    <w:rsid w:val="009F1E75"/>
    <w:rsid w:val="009F4117"/>
    <w:rsid w:val="00A02334"/>
    <w:rsid w:val="00A056ED"/>
    <w:rsid w:val="00A05CDB"/>
    <w:rsid w:val="00A167C8"/>
    <w:rsid w:val="00A24303"/>
    <w:rsid w:val="00A24A96"/>
    <w:rsid w:val="00A250BA"/>
    <w:rsid w:val="00A2664A"/>
    <w:rsid w:val="00A32CBB"/>
    <w:rsid w:val="00A32D7A"/>
    <w:rsid w:val="00A37BA6"/>
    <w:rsid w:val="00A40818"/>
    <w:rsid w:val="00A40BDD"/>
    <w:rsid w:val="00A4104D"/>
    <w:rsid w:val="00A474FF"/>
    <w:rsid w:val="00A50FE0"/>
    <w:rsid w:val="00A51EB3"/>
    <w:rsid w:val="00A53DE0"/>
    <w:rsid w:val="00A57BFF"/>
    <w:rsid w:val="00A57E98"/>
    <w:rsid w:val="00A61632"/>
    <w:rsid w:val="00A62084"/>
    <w:rsid w:val="00A627E2"/>
    <w:rsid w:val="00A63975"/>
    <w:rsid w:val="00A6539C"/>
    <w:rsid w:val="00A654C5"/>
    <w:rsid w:val="00A6779D"/>
    <w:rsid w:val="00A70020"/>
    <w:rsid w:val="00A754DD"/>
    <w:rsid w:val="00A76F9C"/>
    <w:rsid w:val="00A839E5"/>
    <w:rsid w:val="00A8794D"/>
    <w:rsid w:val="00A91E51"/>
    <w:rsid w:val="00A94991"/>
    <w:rsid w:val="00A94E25"/>
    <w:rsid w:val="00A95566"/>
    <w:rsid w:val="00AA1F8F"/>
    <w:rsid w:val="00AA66DB"/>
    <w:rsid w:val="00AB394F"/>
    <w:rsid w:val="00AC13B5"/>
    <w:rsid w:val="00AC25BA"/>
    <w:rsid w:val="00AC2D1A"/>
    <w:rsid w:val="00AC75F2"/>
    <w:rsid w:val="00AC7666"/>
    <w:rsid w:val="00AC796C"/>
    <w:rsid w:val="00AD1FA1"/>
    <w:rsid w:val="00AD4B01"/>
    <w:rsid w:val="00AD4C3A"/>
    <w:rsid w:val="00AD5D24"/>
    <w:rsid w:val="00AD632E"/>
    <w:rsid w:val="00AD6BE5"/>
    <w:rsid w:val="00AD7CB5"/>
    <w:rsid w:val="00AE1661"/>
    <w:rsid w:val="00AE2A84"/>
    <w:rsid w:val="00AF2E68"/>
    <w:rsid w:val="00AF3524"/>
    <w:rsid w:val="00AF5C60"/>
    <w:rsid w:val="00B04834"/>
    <w:rsid w:val="00B14626"/>
    <w:rsid w:val="00B17094"/>
    <w:rsid w:val="00B20689"/>
    <w:rsid w:val="00B21471"/>
    <w:rsid w:val="00B21857"/>
    <w:rsid w:val="00B25A3F"/>
    <w:rsid w:val="00B310A6"/>
    <w:rsid w:val="00B311EE"/>
    <w:rsid w:val="00B324C0"/>
    <w:rsid w:val="00B333BE"/>
    <w:rsid w:val="00B345A9"/>
    <w:rsid w:val="00B43CAD"/>
    <w:rsid w:val="00B46A52"/>
    <w:rsid w:val="00B471DE"/>
    <w:rsid w:val="00B52F25"/>
    <w:rsid w:val="00B553EA"/>
    <w:rsid w:val="00B632AC"/>
    <w:rsid w:val="00B70865"/>
    <w:rsid w:val="00B71EB0"/>
    <w:rsid w:val="00B72D5E"/>
    <w:rsid w:val="00B80AD1"/>
    <w:rsid w:val="00B83871"/>
    <w:rsid w:val="00B83892"/>
    <w:rsid w:val="00B83D33"/>
    <w:rsid w:val="00B87130"/>
    <w:rsid w:val="00B93144"/>
    <w:rsid w:val="00BA200D"/>
    <w:rsid w:val="00BA4F68"/>
    <w:rsid w:val="00BB0C1B"/>
    <w:rsid w:val="00BB3293"/>
    <w:rsid w:val="00BB7AB5"/>
    <w:rsid w:val="00BC14DF"/>
    <w:rsid w:val="00BC1A14"/>
    <w:rsid w:val="00BC215F"/>
    <w:rsid w:val="00BC2F58"/>
    <w:rsid w:val="00BC3553"/>
    <w:rsid w:val="00BC3F62"/>
    <w:rsid w:val="00BC4708"/>
    <w:rsid w:val="00BC7B20"/>
    <w:rsid w:val="00BD0CD3"/>
    <w:rsid w:val="00BD2422"/>
    <w:rsid w:val="00BD2DBF"/>
    <w:rsid w:val="00BD2E10"/>
    <w:rsid w:val="00BD5CE6"/>
    <w:rsid w:val="00BE265E"/>
    <w:rsid w:val="00BE30BA"/>
    <w:rsid w:val="00BE4A4D"/>
    <w:rsid w:val="00BE7D6E"/>
    <w:rsid w:val="00BF03A7"/>
    <w:rsid w:val="00BF25A6"/>
    <w:rsid w:val="00BF350C"/>
    <w:rsid w:val="00BF7405"/>
    <w:rsid w:val="00BF7664"/>
    <w:rsid w:val="00C00712"/>
    <w:rsid w:val="00C01721"/>
    <w:rsid w:val="00C03AC6"/>
    <w:rsid w:val="00C0595C"/>
    <w:rsid w:val="00C07F11"/>
    <w:rsid w:val="00C11821"/>
    <w:rsid w:val="00C13EAA"/>
    <w:rsid w:val="00C14948"/>
    <w:rsid w:val="00C14B13"/>
    <w:rsid w:val="00C17255"/>
    <w:rsid w:val="00C218B2"/>
    <w:rsid w:val="00C221C1"/>
    <w:rsid w:val="00C24E81"/>
    <w:rsid w:val="00C24EDA"/>
    <w:rsid w:val="00C319B8"/>
    <w:rsid w:val="00C322B6"/>
    <w:rsid w:val="00C33235"/>
    <w:rsid w:val="00C33739"/>
    <w:rsid w:val="00C35C58"/>
    <w:rsid w:val="00C41B95"/>
    <w:rsid w:val="00C46115"/>
    <w:rsid w:val="00C474E2"/>
    <w:rsid w:val="00C47C8A"/>
    <w:rsid w:val="00C47E21"/>
    <w:rsid w:val="00C5192E"/>
    <w:rsid w:val="00C52A75"/>
    <w:rsid w:val="00C6200A"/>
    <w:rsid w:val="00C6648E"/>
    <w:rsid w:val="00C71CA8"/>
    <w:rsid w:val="00C72376"/>
    <w:rsid w:val="00C75F43"/>
    <w:rsid w:val="00C76486"/>
    <w:rsid w:val="00C80792"/>
    <w:rsid w:val="00C80CB0"/>
    <w:rsid w:val="00C812FA"/>
    <w:rsid w:val="00C81475"/>
    <w:rsid w:val="00C84B05"/>
    <w:rsid w:val="00C852FA"/>
    <w:rsid w:val="00C856D1"/>
    <w:rsid w:val="00C923CA"/>
    <w:rsid w:val="00C93E80"/>
    <w:rsid w:val="00CA171B"/>
    <w:rsid w:val="00CA6AF7"/>
    <w:rsid w:val="00CB2A14"/>
    <w:rsid w:val="00CB2DC0"/>
    <w:rsid w:val="00CB4F12"/>
    <w:rsid w:val="00CB6C70"/>
    <w:rsid w:val="00CB6EBA"/>
    <w:rsid w:val="00CC0CFE"/>
    <w:rsid w:val="00CC1C3B"/>
    <w:rsid w:val="00CC4475"/>
    <w:rsid w:val="00CC5CED"/>
    <w:rsid w:val="00CC697F"/>
    <w:rsid w:val="00CD0A6F"/>
    <w:rsid w:val="00CD331E"/>
    <w:rsid w:val="00CD68AA"/>
    <w:rsid w:val="00CD7039"/>
    <w:rsid w:val="00CD71CD"/>
    <w:rsid w:val="00CD7893"/>
    <w:rsid w:val="00CE355A"/>
    <w:rsid w:val="00CE4A03"/>
    <w:rsid w:val="00CE5CB1"/>
    <w:rsid w:val="00CE609A"/>
    <w:rsid w:val="00CE7461"/>
    <w:rsid w:val="00CF511A"/>
    <w:rsid w:val="00CF708C"/>
    <w:rsid w:val="00D00776"/>
    <w:rsid w:val="00D025EE"/>
    <w:rsid w:val="00D03AC7"/>
    <w:rsid w:val="00D04CA0"/>
    <w:rsid w:val="00D06489"/>
    <w:rsid w:val="00D071A1"/>
    <w:rsid w:val="00D079F9"/>
    <w:rsid w:val="00D10580"/>
    <w:rsid w:val="00D12505"/>
    <w:rsid w:val="00D12885"/>
    <w:rsid w:val="00D1322D"/>
    <w:rsid w:val="00D13B39"/>
    <w:rsid w:val="00D14B86"/>
    <w:rsid w:val="00D14F9B"/>
    <w:rsid w:val="00D220F0"/>
    <w:rsid w:val="00D22C71"/>
    <w:rsid w:val="00D2343A"/>
    <w:rsid w:val="00D24207"/>
    <w:rsid w:val="00D24B61"/>
    <w:rsid w:val="00D30DDE"/>
    <w:rsid w:val="00D34C67"/>
    <w:rsid w:val="00D36DD5"/>
    <w:rsid w:val="00D37FA5"/>
    <w:rsid w:val="00D41410"/>
    <w:rsid w:val="00D427AA"/>
    <w:rsid w:val="00D43DE7"/>
    <w:rsid w:val="00D4497F"/>
    <w:rsid w:val="00D50705"/>
    <w:rsid w:val="00D51003"/>
    <w:rsid w:val="00D51C69"/>
    <w:rsid w:val="00D5295A"/>
    <w:rsid w:val="00D52C02"/>
    <w:rsid w:val="00D55090"/>
    <w:rsid w:val="00D60D05"/>
    <w:rsid w:val="00D60D8D"/>
    <w:rsid w:val="00D61860"/>
    <w:rsid w:val="00D61DAF"/>
    <w:rsid w:val="00D62644"/>
    <w:rsid w:val="00D64CDD"/>
    <w:rsid w:val="00D654A1"/>
    <w:rsid w:val="00D728F5"/>
    <w:rsid w:val="00D72940"/>
    <w:rsid w:val="00D734D7"/>
    <w:rsid w:val="00D73EC2"/>
    <w:rsid w:val="00D82C22"/>
    <w:rsid w:val="00D9128D"/>
    <w:rsid w:val="00D935A1"/>
    <w:rsid w:val="00D95AE3"/>
    <w:rsid w:val="00DA1E2D"/>
    <w:rsid w:val="00DA24F4"/>
    <w:rsid w:val="00DB1958"/>
    <w:rsid w:val="00DB4C3E"/>
    <w:rsid w:val="00DB581E"/>
    <w:rsid w:val="00DC16D9"/>
    <w:rsid w:val="00DC665C"/>
    <w:rsid w:val="00DD08E9"/>
    <w:rsid w:val="00DD2413"/>
    <w:rsid w:val="00DD2F95"/>
    <w:rsid w:val="00DD3ED2"/>
    <w:rsid w:val="00DD7376"/>
    <w:rsid w:val="00DE0539"/>
    <w:rsid w:val="00DE28DC"/>
    <w:rsid w:val="00DE3B7B"/>
    <w:rsid w:val="00DE464A"/>
    <w:rsid w:val="00DE7835"/>
    <w:rsid w:val="00DF094E"/>
    <w:rsid w:val="00DF25E5"/>
    <w:rsid w:val="00DF3289"/>
    <w:rsid w:val="00DF4569"/>
    <w:rsid w:val="00DF47B2"/>
    <w:rsid w:val="00DF79D2"/>
    <w:rsid w:val="00E168B6"/>
    <w:rsid w:val="00E17DAD"/>
    <w:rsid w:val="00E20EC8"/>
    <w:rsid w:val="00E260F0"/>
    <w:rsid w:val="00E27BBB"/>
    <w:rsid w:val="00E27BE9"/>
    <w:rsid w:val="00E32720"/>
    <w:rsid w:val="00E33788"/>
    <w:rsid w:val="00E35156"/>
    <w:rsid w:val="00E40C29"/>
    <w:rsid w:val="00E42B7D"/>
    <w:rsid w:val="00E43953"/>
    <w:rsid w:val="00E43B3C"/>
    <w:rsid w:val="00E46551"/>
    <w:rsid w:val="00E465DB"/>
    <w:rsid w:val="00E46DF3"/>
    <w:rsid w:val="00E55BEE"/>
    <w:rsid w:val="00E56409"/>
    <w:rsid w:val="00E578E7"/>
    <w:rsid w:val="00E71931"/>
    <w:rsid w:val="00E73D25"/>
    <w:rsid w:val="00E73FD8"/>
    <w:rsid w:val="00E803D0"/>
    <w:rsid w:val="00E816C1"/>
    <w:rsid w:val="00E8186E"/>
    <w:rsid w:val="00E81CA7"/>
    <w:rsid w:val="00E81D3C"/>
    <w:rsid w:val="00E83B6E"/>
    <w:rsid w:val="00E83BF2"/>
    <w:rsid w:val="00E85EB0"/>
    <w:rsid w:val="00E86522"/>
    <w:rsid w:val="00E87956"/>
    <w:rsid w:val="00E90128"/>
    <w:rsid w:val="00E90FE7"/>
    <w:rsid w:val="00E92681"/>
    <w:rsid w:val="00E935CE"/>
    <w:rsid w:val="00E936EE"/>
    <w:rsid w:val="00E94180"/>
    <w:rsid w:val="00E97486"/>
    <w:rsid w:val="00EA0BBE"/>
    <w:rsid w:val="00EA1D51"/>
    <w:rsid w:val="00EA2329"/>
    <w:rsid w:val="00EA2F90"/>
    <w:rsid w:val="00EA4B4D"/>
    <w:rsid w:val="00EA4C32"/>
    <w:rsid w:val="00EA53B2"/>
    <w:rsid w:val="00EA717C"/>
    <w:rsid w:val="00EB176C"/>
    <w:rsid w:val="00EB17EA"/>
    <w:rsid w:val="00EB4971"/>
    <w:rsid w:val="00EC0B15"/>
    <w:rsid w:val="00EC1B86"/>
    <w:rsid w:val="00EC2FA8"/>
    <w:rsid w:val="00EC3160"/>
    <w:rsid w:val="00EC583D"/>
    <w:rsid w:val="00EC685A"/>
    <w:rsid w:val="00ED0139"/>
    <w:rsid w:val="00ED06EC"/>
    <w:rsid w:val="00ED350A"/>
    <w:rsid w:val="00ED5339"/>
    <w:rsid w:val="00EE173D"/>
    <w:rsid w:val="00EE2CCC"/>
    <w:rsid w:val="00EE3C74"/>
    <w:rsid w:val="00EE496C"/>
    <w:rsid w:val="00EF0356"/>
    <w:rsid w:val="00EF165F"/>
    <w:rsid w:val="00EF267E"/>
    <w:rsid w:val="00EF4CDF"/>
    <w:rsid w:val="00F06A13"/>
    <w:rsid w:val="00F06D62"/>
    <w:rsid w:val="00F07E1E"/>
    <w:rsid w:val="00F14317"/>
    <w:rsid w:val="00F14DF8"/>
    <w:rsid w:val="00F14F96"/>
    <w:rsid w:val="00F1526B"/>
    <w:rsid w:val="00F15CFC"/>
    <w:rsid w:val="00F22A58"/>
    <w:rsid w:val="00F23DAF"/>
    <w:rsid w:val="00F25061"/>
    <w:rsid w:val="00F3316C"/>
    <w:rsid w:val="00F338AD"/>
    <w:rsid w:val="00F3438F"/>
    <w:rsid w:val="00F46002"/>
    <w:rsid w:val="00F479FF"/>
    <w:rsid w:val="00F5200E"/>
    <w:rsid w:val="00F56D43"/>
    <w:rsid w:val="00F600B2"/>
    <w:rsid w:val="00F6121B"/>
    <w:rsid w:val="00F64802"/>
    <w:rsid w:val="00F67593"/>
    <w:rsid w:val="00F71024"/>
    <w:rsid w:val="00F76D36"/>
    <w:rsid w:val="00F77C22"/>
    <w:rsid w:val="00F80A1A"/>
    <w:rsid w:val="00F83173"/>
    <w:rsid w:val="00F83318"/>
    <w:rsid w:val="00F85F34"/>
    <w:rsid w:val="00F8731D"/>
    <w:rsid w:val="00F9080D"/>
    <w:rsid w:val="00F90AE1"/>
    <w:rsid w:val="00F92285"/>
    <w:rsid w:val="00F93CFB"/>
    <w:rsid w:val="00FA0856"/>
    <w:rsid w:val="00FA189B"/>
    <w:rsid w:val="00FA6136"/>
    <w:rsid w:val="00FA66FC"/>
    <w:rsid w:val="00FB0C2E"/>
    <w:rsid w:val="00FB1276"/>
    <w:rsid w:val="00FB3064"/>
    <w:rsid w:val="00FB4390"/>
    <w:rsid w:val="00FB5321"/>
    <w:rsid w:val="00FB5BB4"/>
    <w:rsid w:val="00FB6FC9"/>
    <w:rsid w:val="00FC419C"/>
    <w:rsid w:val="00FC49BB"/>
    <w:rsid w:val="00FC77D6"/>
    <w:rsid w:val="00FD012A"/>
    <w:rsid w:val="00FD70C7"/>
    <w:rsid w:val="00FE08A1"/>
    <w:rsid w:val="00FE2052"/>
    <w:rsid w:val="00FE363E"/>
    <w:rsid w:val="00FE38A4"/>
    <w:rsid w:val="00FE3ACE"/>
    <w:rsid w:val="00FE3F35"/>
    <w:rsid w:val="00FE4082"/>
    <w:rsid w:val="00FE5017"/>
    <w:rsid w:val="00FE7703"/>
    <w:rsid w:val="00FE7D36"/>
    <w:rsid w:val="00FE7E6F"/>
    <w:rsid w:val="00FF0AA6"/>
    <w:rsid w:val="00FF13AD"/>
    <w:rsid w:val="00FF56DE"/>
    <w:rsid w:val="00FF7971"/>
    <w:rsid w:val="00FF79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AE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16C"/>
    <w:pPr>
      <w:overflowPunct w:val="0"/>
      <w:autoSpaceDE w:val="0"/>
      <w:autoSpaceDN w:val="0"/>
      <w:adjustRightInd w:val="0"/>
      <w:textAlignment w:val="baseline"/>
    </w:pPr>
    <w:rPr>
      <w:rFonts w:ascii="Arial" w:eastAsia="Times New Roman" w:hAnsi="Arial"/>
      <w:sz w:val="24"/>
      <w:lang w:eastAsia="de-DE"/>
    </w:rPr>
  </w:style>
  <w:style w:type="paragraph" w:styleId="berschrift1">
    <w:name w:val="heading 1"/>
    <w:basedOn w:val="Standard"/>
    <w:next w:val="Standard"/>
    <w:link w:val="berschrift1Zchn"/>
    <w:rsid w:val="00515A39"/>
    <w:pPr>
      <w:keepNext/>
      <w:numPr>
        <w:numId w:val="1"/>
      </w:numPr>
      <w:outlineLvl w:val="0"/>
    </w:pPr>
  </w:style>
  <w:style w:type="paragraph" w:styleId="berschrift2">
    <w:name w:val="heading 2"/>
    <w:basedOn w:val="berschrift1"/>
    <w:next w:val="Standard"/>
    <w:link w:val="berschrift2Zchn"/>
    <w:rsid w:val="00515A39"/>
    <w:pPr>
      <w:numPr>
        <w:ilvl w:val="1"/>
      </w:numPr>
      <w:outlineLvl w:val="1"/>
    </w:pPr>
  </w:style>
  <w:style w:type="paragraph" w:styleId="berschrift3">
    <w:name w:val="heading 3"/>
    <w:basedOn w:val="Standard"/>
    <w:next w:val="Standard"/>
    <w:link w:val="berschrift3Zchn"/>
    <w:semiHidden/>
    <w:unhideWhenUsed/>
    <w:rsid w:val="00515A39"/>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semiHidden/>
    <w:unhideWhenUsed/>
    <w:rsid w:val="00515A39"/>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semiHidden/>
    <w:unhideWhenUsed/>
    <w:rsid w:val="00515A39"/>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semiHidden/>
    <w:unhideWhenUsed/>
    <w:rsid w:val="00515A39"/>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semiHidden/>
    <w:unhideWhenUsed/>
    <w:rsid w:val="00515A3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15A39"/>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rsid w:val="00515A39"/>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M1Standard">
    <w:name w:val="_UM_1Standard"/>
    <w:link w:val="UM1StandardZchn"/>
    <w:qFormat/>
    <w:rsid w:val="0060008F"/>
    <w:pPr>
      <w:spacing w:line="360" w:lineRule="atLeast"/>
    </w:pPr>
    <w:rPr>
      <w:rFonts w:ascii="Arial" w:hAnsi="Arial" w:cs="Arial"/>
      <w:kern w:val="20"/>
      <w:sz w:val="24"/>
      <w:szCs w:val="24"/>
    </w:rPr>
  </w:style>
  <w:style w:type="character" w:customStyle="1" w:styleId="UM1StandardZchn">
    <w:name w:val="_UM_1Standard Zchn"/>
    <w:basedOn w:val="Absatz-Standardschriftart"/>
    <w:link w:val="UM1Standard"/>
    <w:rsid w:val="0060008F"/>
    <w:rPr>
      <w:rFonts w:ascii="Arial" w:hAnsi="Arial" w:cs="Arial"/>
      <w:kern w:val="20"/>
      <w:sz w:val="24"/>
      <w:szCs w:val="24"/>
    </w:rPr>
  </w:style>
  <w:style w:type="paragraph" w:customStyle="1" w:styleId="UMListeArial-12pt-Punkt">
    <w:name w:val="_UM_Liste_Arial-12pt-Punkt"/>
    <w:basedOn w:val="UM1Standard"/>
    <w:link w:val="UMListeArial-12pt-PunktZchn"/>
    <w:qFormat/>
    <w:rsid w:val="00E936EE"/>
    <w:pPr>
      <w:numPr>
        <w:numId w:val="4"/>
      </w:numPr>
      <w:tabs>
        <w:tab w:val="num" w:pos="360"/>
      </w:tabs>
      <w:ind w:left="714" w:hanging="357"/>
    </w:pPr>
  </w:style>
  <w:style w:type="character" w:customStyle="1" w:styleId="UMListeFortsetzungArial-12ptEbene1Zchn">
    <w:name w:val="_UM_Liste_Fortsetzung_Arial-12pt_Ebene1 Zchn"/>
    <w:basedOn w:val="UM1StandardZchn"/>
    <w:link w:val="UMListeFortsetzungArial-12ptEbene1"/>
    <w:rsid w:val="00693381"/>
    <w:rPr>
      <w:rFonts w:ascii="Arial" w:hAnsi="Arial" w:cs="Arial"/>
      <w:kern w:val="20"/>
      <w:sz w:val="24"/>
      <w:szCs w:val="24"/>
    </w:rPr>
  </w:style>
  <w:style w:type="character" w:customStyle="1" w:styleId="UMListeArial-12pt-PunktZchn">
    <w:name w:val="_UM_Liste_Arial-12pt-Punkt Zchn"/>
    <w:basedOn w:val="UM1StandardZchn"/>
    <w:link w:val="UMListeArial-12pt-Punkt"/>
    <w:rsid w:val="00E936EE"/>
    <w:rPr>
      <w:rFonts w:ascii="Arial" w:hAnsi="Arial" w:cs="Arial"/>
      <w:kern w:val="20"/>
      <w:sz w:val="24"/>
      <w:szCs w:val="24"/>
    </w:rPr>
  </w:style>
  <w:style w:type="paragraph" w:customStyle="1" w:styleId="UMSeitenzahl-Arial-8pt">
    <w:name w:val="_UM_Seitenzahl-Arial-8pt"/>
    <w:basedOn w:val="UM1Standard"/>
    <w:next w:val="UM1Standard"/>
    <w:link w:val="UMSeitenzahl-Arial-8ptZchn"/>
    <w:qFormat/>
    <w:rsid w:val="00182897"/>
    <w:pPr>
      <w:spacing w:line="240" w:lineRule="atLeast"/>
      <w:jc w:val="center"/>
    </w:pPr>
    <w:rPr>
      <w:rFonts w:eastAsia="Times"/>
      <w:sz w:val="16"/>
      <w:szCs w:val="22"/>
    </w:rPr>
  </w:style>
  <w:style w:type="numbering" w:customStyle="1" w:styleId="UMberschriften">
    <w:name w:val="_UM_Überschriften"/>
    <w:uiPriority w:val="99"/>
    <w:rsid w:val="00581436"/>
    <w:pPr>
      <w:numPr>
        <w:numId w:val="73"/>
      </w:numPr>
    </w:pPr>
  </w:style>
  <w:style w:type="paragraph" w:customStyle="1" w:styleId="UMTitelArial-14pt">
    <w:name w:val="_UM_Titel_Arial-14pt"/>
    <w:basedOn w:val="UM1Standard"/>
    <w:next w:val="UMFlietextArial-12pt"/>
    <w:autoRedefine/>
    <w:qFormat/>
    <w:rsid w:val="003847D7"/>
    <w:pPr>
      <w:spacing w:before="360" w:after="360" w:line="240" w:lineRule="atLeast"/>
      <w:jc w:val="center"/>
    </w:pPr>
    <w:rPr>
      <w:rFonts w:eastAsia="Calibri"/>
      <w:b/>
      <w:noProof/>
      <w:sz w:val="28"/>
      <w:szCs w:val="22"/>
      <w:lang w:eastAsia="de-DE"/>
    </w:rPr>
  </w:style>
  <w:style w:type="paragraph" w:styleId="Funotentext">
    <w:name w:val="footnote text"/>
    <w:basedOn w:val="Standard"/>
    <w:link w:val="FunotentextZchn"/>
    <w:uiPriority w:val="99"/>
    <w:unhideWhenUsed/>
    <w:rsid w:val="00515A39"/>
  </w:style>
  <w:style w:type="paragraph" w:styleId="Kopfzeile">
    <w:name w:val="header"/>
    <w:basedOn w:val="Standard"/>
    <w:link w:val="KopfzeileZchn"/>
    <w:unhideWhenUsed/>
    <w:rsid w:val="00515A39"/>
    <w:pPr>
      <w:tabs>
        <w:tab w:val="center" w:pos="4536"/>
        <w:tab w:val="right" w:pos="9072"/>
      </w:tabs>
    </w:pPr>
  </w:style>
  <w:style w:type="character" w:customStyle="1" w:styleId="KopfzeileZchn">
    <w:name w:val="Kopfzeile Zchn"/>
    <w:basedOn w:val="Absatz-Standardschriftart"/>
    <w:link w:val="Kopfzeile"/>
    <w:rsid w:val="00515A39"/>
  </w:style>
  <w:style w:type="paragraph" w:styleId="Fuzeile">
    <w:name w:val="footer"/>
    <w:basedOn w:val="Standard"/>
    <w:link w:val="FuzeileZchn"/>
    <w:uiPriority w:val="99"/>
    <w:unhideWhenUsed/>
    <w:rsid w:val="00515A39"/>
    <w:pPr>
      <w:tabs>
        <w:tab w:val="center" w:pos="4536"/>
        <w:tab w:val="right" w:pos="9072"/>
      </w:tabs>
    </w:pPr>
  </w:style>
  <w:style w:type="character" w:customStyle="1" w:styleId="FuzeileZchn">
    <w:name w:val="Fußzeile Zchn"/>
    <w:basedOn w:val="Absatz-Standardschriftart"/>
    <w:link w:val="Fuzeile"/>
    <w:uiPriority w:val="99"/>
    <w:rsid w:val="00515A39"/>
  </w:style>
  <w:style w:type="paragraph" w:customStyle="1" w:styleId="UMAbsenderH1Times-8pt">
    <w:name w:val="_UM_Absender_H1_Times-8pt"/>
    <w:basedOn w:val="Standard"/>
    <w:qFormat/>
    <w:rsid w:val="00681BEC"/>
    <w:pPr>
      <w:spacing w:line="240" w:lineRule="atLeast"/>
    </w:pPr>
    <w:rPr>
      <w:kern w:val="20"/>
      <w:sz w:val="16"/>
      <w:szCs w:val="24"/>
    </w:rPr>
  </w:style>
  <w:style w:type="paragraph" w:customStyle="1" w:styleId="UMAbbildgBeschriftungArial-kursiv-9pt">
    <w:name w:val="_UM_Abbildg_Beschriftung_Arial-kursiv-9pt"/>
    <w:basedOn w:val="UM1Standard"/>
    <w:next w:val="UMFlietextArial-12pt"/>
    <w:link w:val="UMAbbildgBeschriftungArial-kursiv-9ptZchn"/>
    <w:qFormat/>
    <w:rsid w:val="00AF3524"/>
    <w:pPr>
      <w:spacing w:after="120" w:line="240" w:lineRule="atLeast"/>
    </w:pPr>
    <w:rPr>
      <w:i/>
      <w:sz w:val="18"/>
    </w:rPr>
  </w:style>
  <w:style w:type="character" w:customStyle="1" w:styleId="UMAbbildgBeschriftungArial-kursiv-9ptZchn">
    <w:name w:val="_UM_Abbildg_Beschriftung_Arial-kursiv-9pt Zchn"/>
    <w:basedOn w:val="UM1StandardZchn"/>
    <w:link w:val="UMAbbildgBeschriftungArial-kursiv-9pt"/>
    <w:rsid w:val="00AF3524"/>
    <w:rPr>
      <w:rFonts w:ascii="Arial" w:hAnsi="Arial" w:cs="Arial"/>
      <w:i/>
      <w:kern w:val="20"/>
      <w:sz w:val="18"/>
      <w:szCs w:val="24"/>
    </w:rPr>
  </w:style>
  <w:style w:type="paragraph" w:customStyle="1" w:styleId="UMFlietextArial-12pt">
    <w:name w:val="_UM_Fließtext_Arial-12pt"/>
    <w:basedOn w:val="UM1Standard"/>
    <w:link w:val="UMFlietextArial-12ptZchn"/>
    <w:qFormat/>
    <w:rsid w:val="00036625"/>
    <w:pPr>
      <w:spacing w:before="120" w:after="240"/>
    </w:pPr>
  </w:style>
  <w:style w:type="character" w:customStyle="1" w:styleId="UMFlietextArial-12ptZchn">
    <w:name w:val="_UM_Fließtext_Arial-12pt Zchn"/>
    <w:basedOn w:val="UM1StandardZchn"/>
    <w:link w:val="UMFlietextArial-12pt"/>
    <w:rsid w:val="00036625"/>
    <w:rPr>
      <w:rFonts w:ascii="Arial" w:hAnsi="Arial" w:cs="Arial"/>
      <w:kern w:val="20"/>
      <w:sz w:val="24"/>
      <w:szCs w:val="24"/>
    </w:rPr>
  </w:style>
  <w:style w:type="paragraph" w:customStyle="1" w:styleId="UMHinweisArial-10pt">
    <w:name w:val="_UM_Hinweis_Arial-10pt"/>
    <w:basedOn w:val="UM1Standard"/>
    <w:next w:val="UMFlietextArial-12pt"/>
    <w:link w:val="UMHinweisArial-10ptZchn"/>
    <w:autoRedefine/>
    <w:qFormat/>
    <w:rsid w:val="00515A39"/>
    <w:pPr>
      <w:spacing w:line="240" w:lineRule="auto"/>
    </w:pPr>
    <w:rPr>
      <w:sz w:val="20"/>
    </w:rPr>
  </w:style>
  <w:style w:type="character" w:customStyle="1" w:styleId="UMHinweisArial-10ptZchn">
    <w:name w:val="_UM_Hinweis_Arial-10pt Zchn"/>
    <w:basedOn w:val="UM1StandardZchn"/>
    <w:link w:val="UMHinweisArial-10pt"/>
    <w:rsid w:val="00515A39"/>
    <w:rPr>
      <w:rFonts w:ascii="Arial" w:hAnsi="Arial" w:cs="Arial"/>
      <w:kern w:val="20"/>
      <w:sz w:val="20"/>
      <w:szCs w:val="24"/>
    </w:rPr>
  </w:style>
  <w:style w:type="paragraph" w:customStyle="1" w:styleId="UMListeArial-12pt-Strich">
    <w:name w:val="_UM_Liste_Arial-12pt-Strich"/>
    <w:basedOn w:val="UM1Standard"/>
    <w:link w:val="UMListeArial-12pt-StrichZchn"/>
    <w:qFormat/>
    <w:rsid w:val="003454C6"/>
    <w:pPr>
      <w:numPr>
        <w:numId w:val="2"/>
      </w:numPr>
    </w:pPr>
  </w:style>
  <w:style w:type="character" w:customStyle="1" w:styleId="UMListeArial-12pt-StrichZchn">
    <w:name w:val="_UM_Liste_Arial-12pt-Strich Zchn"/>
    <w:basedOn w:val="UM1StandardZchn"/>
    <w:link w:val="UMListeArial-12pt-Strich"/>
    <w:rsid w:val="00E936EE"/>
    <w:rPr>
      <w:rFonts w:ascii="Arial" w:hAnsi="Arial" w:cs="Arial"/>
      <w:kern w:val="20"/>
      <w:sz w:val="24"/>
      <w:szCs w:val="24"/>
    </w:rPr>
  </w:style>
  <w:style w:type="paragraph" w:customStyle="1" w:styleId="UMListeFortsetzungArial-12ptEbene1">
    <w:name w:val="_UM_Liste_Fortsetzung_Arial-12pt_Ebene1"/>
    <w:basedOn w:val="UM1Standard"/>
    <w:link w:val="UMListeFortsetzungArial-12ptEbene1Zchn"/>
    <w:qFormat/>
    <w:rsid w:val="00693381"/>
    <w:pPr>
      <w:spacing w:after="120"/>
      <w:ind w:left="720"/>
    </w:pPr>
  </w:style>
  <w:style w:type="paragraph" w:customStyle="1" w:styleId="UMListe-num1Arial-12pt">
    <w:name w:val="_UM_Liste-num1_Arial-12pt"/>
    <w:basedOn w:val="UM1Standard"/>
    <w:link w:val="UMListe-num1Arial-12ptZchn"/>
    <w:qFormat/>
    <w:rsid w:val="00D61860"/>
    <w:pPr>
      <w:numPr>
        <w:numId w:val="3"/>
      </w:numPr>
      <w:spacing w:before="120" w:after="120"/>
      <w:ind w:left="714" w:hanging="357"/>
    </w:pPr>
  </w:style>
  <w:style w:type="character" w:customStyle="1" w:styleId="UMListe-num1Arial-12ptZchn">
    <w:name w:val="_UM_Liste-num1_Arial-12pt Zchn"/>
    <w:basedOn w:val="UM1StandardZchn"/>
    <w:link w:val="UMListe-num1Arial-12pt"/>
    <w:rsid w:val="00D61860"/>
    <w:rPr>
      <w:rFonts w:ascii="Arial" w:hAnsi="Arial" w:cs="Arial"/>
      <w:kern w:val="20"/>
      <w:sz w:val="24"/>
      <w:szCs w:val="24"/>
    </w:rPr>
  </w:style>
  <w:style w:type="paragraph" w:customStyle="1" w:styleId="UMListe-num2Arial-12pt">
    <w:name w:val="_UM_Liste-num2_Arial-12pt"/>
    <w:basedOn w:val="UM1Standard"/>
    <w:link w:val="UMListe-num2Arial-12ptZchn"/>
    <w:autoRedefine/>
    <w:qFormat/>
    <w:rsid w:val="00393E9C"/>
    <w:pPr>
      <w:numPr>
        <w:ilvl w:val="1"/>
        <w:numId w:val="3"/>
      </w:numPr>
      <w:spacing w:before="120" w:after="120"/>
      <w:ind w:left="1418"/>
    </w:pPr>
    <w:rPr>
      <w:lang w:val="en-GB"/>
    </w:rPr>
  </w:style>
  <w:style w:type="character" w:customStyle="1" w:styleId="UMListe-num2Arial-12ptZchn">
    <w:name w:val="_UM_Liste-num2_Arial-12pt Zchn"/>
    <w:basedOn w:val="UM1StandardZchn"/>
    <w:link w:val="UMListe-num2Arial-12pt"/>
    <w:rsid w:val="00393E9C"/>
    <w:rPr>
      <w:rFonts w:ascii="Arial" w:hAnsi="Arial" w:cs="Arial"/>
      <w:kern w:val="20"/>
      <w:sz w:val="24"/>
      <w:szCs w:val="24"/>
      <w:lang w:val="en-GB"/>
    </w:rPr>
  </w:style>
  <w:style w:type="paragraph" w:customStyle="1" w:styleId="UMTabelleInhaltArial-12pt">
    <w:name w:val="_UM_Tabelle_Inhalt_Arial-12pt"/>
    <w:basedOn w:val="UM1Standard"/>
    <w:qFormat/>
    <w:rsid w:val="00515A39"/>
    <w:pPr>
      <w:spacing w:after="120"/>
    </w:pPr>
  </w:style>
  <w:style w:type="paragraph" w:customStyle="1" w:styleId="UMTabelleSpaltenberschriftArial-12pt-fett">
    <w:name w:val="_UM_Tabelle_Spaltenüberschrift_Arial-12pt-fett"/>
    <w:basedOn w:val="UM1Standard"/>
    <w:qFormat/>
    <w:rsid w:val="00515A39"/>
    <w:pPr>
      <w:spacing w:after="120"/>
    </w:pPr>
    <w:rPr>
      <w:b/>
    </w:rPr>
  </w:style>
  <w:style w:type="paragraph" w:customStyle="1" w:styleId="UMTabelleZeilenberschriftArial-12pt-fett">
    <w:name w:val="_UM_Tabelle_Zeilenüberschrift_Arial-12pt-fett"/>
    <w:basedOn w:val="UM1Standard"/>
    <w:qFormat/>
    <w:rsid w:val="00515A39"/>
    <w:pPr>
      <w:spacing w:after="120"/>
    </w:pPr>
    <w:rPr>
      <w:b/>
    </w:rPr>
  </w:style>
  <w:style w:type="paragraph" w:customStyle="1" w:styleId="UMTabellenbeschriftung">
    <w:name w:val="_UM_Tabellenbeschriftung"/>
    <w:basedOn w:val="UM1Standard"/>
    <w:next w:val="UMFlietextArial-12pt"/>
    <w:link w:val="UMTabellenbeschriftungZchn"/>
    <w:qFormat/>
    <w:rsid w:val="00DE0539"/>
    <w:pPr>
      <w:keepNext/>
      <w:spacing w:after="120"/>
    </w:pPr>
    <w:rPr>
      <w:i/>
      <w:caps/>
    </w:rPr>
  </w:style>
  <w:style w:type="character" w:customStyle="1" w:styleId="UMTabellenbeschriftungZchn">
    <w:name w:val="_UM_Tabellenbeschriftung Zchn"/>
    <w:basedOn w:val="UM1StandardZchn"/>
    <w:link w:val="UMTabellenbeschriftung"/>
    <w:rsid w:val="00DE0539"/>
    <w:rPr>
      <w:rFonts w:ascii="Arial" w:hAnsi="Arial" w:cs="Arial"/>
      <w:i/>
      <w:caps/>
      <w:kern w:val="20"/>
      <w:sz w:val="24"/>
      <w:szCs w:val="24"/>
    </w:rPr>
  </w:style>
  <w:style w:type="paragraph" w:customStyle="1" w:styleId="UMberschriftArial-12pt">
    <w:name w:val="_UM_Überschrift_Arial-12pt"/>
    <w:basedOn w:val="UM1Standard"/>
    <w:next w:val="UMFlietextArial-12pt"/>
    <w:qFormat/>
    <w:rsid w:val="006C05DF"/>
    <w:pPr>
      <w:keepNext/>
      <w:spacing w:before="240" w:after="240"/>
      <w:outlineLvl w:val="0"/>
    </w:pPr>
    <w:rPr>
      <w:b/>
    </w:rPr>
  </w:style>
  <w:style w:type="paragraph" w:customStyle="1" w:styleId="UMberschrift1numArial-fett-12pt">
    <w:name w:val="_UM_Überschrift1_num_Arial-fett-12pt"/>
    <w:basedOn w:val="UM1Standard"/>
    <w:next w:val="UMFlietextArial-12pt"/>
    <w:qFormat/>
    <w:rsid w:val="00130E94"/>
    <w:pPr>
      <w:keepNext/>
      <w:numPr>
        <w:numId w:val="5"/>
      </w:numPr>
      <w:shd w:val="clear" w:color="auto" w:fill="D9D9D9" w:themeFill="background1" w:themeFillShade="D9"/>
      <w:spacing w:before="480" w:after="240" w:line="259" w:lineRule="auto"/>
      <w:outlineLvl w:val="0"/>
    </w:pPr>
    <w:rPr>
      <w:b/>
      <w:bCs/>
      <w:kern w:val="0"/>
    </w:rPr>
  </w:style>
  <w:style w:type="paragraph" w:customStyle="1" w:styleId="UMberschrift2num-Arial-12pt">
    <w:name w:val="_UM_Überschrift2_num-Arial-12pt"/>
    <w:basedOn w:val="UM1Standard"/>
    <w:next w:val="UMFlietextArial-12pt"/>
    <w:qFormat/>
    <w:rsid w:val="00130E94"/>
    <w:pPr>
      <w:keepNext/>
      <w:numPr>
        <w:ilvl w:val="1"/>
        <w:numId w:val="5"/>
      </w:numPr>
      <w:shd w:val="clear" w:color="auto" w:fill="D9D9D9" w:themeFill="background1" w:themeFillShade="D9"/>
      <w:spacing w:before="360" w:after="120" w:line="259" w:lineRule="auto"/>
      <w:outlineLvl w:val="1"/>
    </w:pPr>
    <w:rPr>
      <w:b/>
      <w:bCs/>
      <w:kern w:val="0"/>
    </w:rPr>
  </w:style>
  <w:style w:type="paragraph" w:customStyle="1" w:styleId="UMberschrift3num-Arial-12pt">
    <w:name w:val="_UM_Überschrift3_num-Arial-12pt"/>
    <w:basedOn w:val="UM1Standard"/>
    <w:next w:val="UMFlietextArial-12pt"/>
    <w:qFormat/>
    <w:rsid w:val="000C26BF"/>
    <w:pPr>
      <w:keepNext/>
      <w:numPr>
        <w:ilvl w:val="2"/>
        <w:numId w:val="5"/>
      </w:numPr>
      <w:shd w:val="clear" w:color="auto" w:fill="D9D9D9" w:themeFill="background1" w:themeFillShade="D9"/>
      <w:spacing w:before="360" w:after="120" w:line="259" w:lineRule="auto"/>
      <w:outlineLvl w:val="2"/>
    </w:pPr>
    <w:rPr>
      <w:b/>
      <w:bCs/>
      <w:kern w:val="0"/>
    </w:rPr>
  </w:style>
  <w:style w:type="paragraph" w:customStyle="1" w:styleId="UMberschrift-mittigfett-Arial-12pt">
    <w:name w:val="_UM_Überschrift-mittig_fett-Arial-12pt"/>
    <w:basedOn w:val="UM1Standard"/>
    <w:next w:val="UMFlietextArial-12pt"/>
    <w:qFormat/>
    <w:rsid w:val="00515A39"/>
    <w:pPr>
      <w:spacing w:before="840" w:after="480"/>
      <w:jc w:val="center"/>
      <w:outlineLvl w:val="0"/>
    </w:pPr>
    <w:rPr>
      <w:b/>
    </w:rPr>
  </w:style>
  <w:style w:type="character" w:customStyle="1" w:styleId="berschrift1Zchn">
    <w:name w:val="Überschrift 1 Zchn"/>
    <w:basedOn w:val="Absatz-Standardschriftart"/>
    <w:link w:val="berschrift1"/>
    <w:rsid w:val="001A4549"/>
    <w:rPr>
      <w:rFonts w:ascii="Arial" w:eastAsia="Times New Roman" w:hAnsi="Arial"/>
      <w:sz w:val="24"/>
      <w:lang w:eastAsia="de-DE"/>
    </w:rPr>
  </w:style>
  <w:style w:type="paragraph" w:customStyle="1" w:styleId="UMVerzeichnisBezug-AnlagenArial-12pt">
    <w:name w:val="_UM_Verzeichnis_Bezug-Anlagen_Arial-12pt"/>
    <w:basedOn w:val="UM1Standard"/>
    <w:next w:val="UMFlietextArial-12pt"/>
    <w:qFormat/>
    <w:rsid w:val="00515A39"/>
    <w:pPr>
      <w:spacing w:after="120"/>
      <w:ind w:left="567" w:hanging="567"/>
    </w:pPr>
  </w:style>
  <w:style w:type="paragraph" w:customStyle="1" w:styleId="UMZitatArial-12pt">
    <w:name w:val="_UM_Zitat_Arial-12pt"/>
    <w:basedOn w:val="UMFlietextArial-12pt"/>
    <w:link w:val="UMZitatArial-12ptZchn"/>
    <w:qFormat/>
    <w:rsid w:val="00515A39"/>
    <w:rPr>
      <w:i/>
    </w:rPr>
  </w:style>
  <w:style w:type="character" w:customStyle="1" w:styleId="UMZitatArial-12ptZchn">
    <w:name w:val="_UM_Zitat_Arial-12pt Zchn"/>
    <w:basedOn w:val="UMFlietextArial-12ptZchn"/>
    <w:link w:val="UMZitatArial-12pt"/>
    <w:rsid w:val="00515A39"/>
    <w:rPr>
      <w:rFonts w:ascii="Arial" w:hAnsi="Arial" w:cs="Arial"/>
      <w:i/>
      <w:kern w:val="20"/>
      <w:sz w:val="24"/>
      <w:szCs w:val="24"/>
    </w:rPr>
  </w:style>
  <w:style w:type="paragraph" w:styleId="Beschriftung">
    <w:name w:val="caption"/>
    <w:basedOn w:val="Standard"/>
    <w:next w:val="Standard"/>
    <w:uiPriority w:val="35"/>
    <w:unhideWhenUsed/>
    <w:qFormat/>
    <w:rsid w:val="00751187"/>
    <w:pPr>
      <w:spacing w:after="200"/>
    </w:pPr>
    <w:rPr>
      <w:i/>
      <w:iCs/>
      <w:color w:val="44546A" w:themeColor="text2"/>
      <w:sz w:val="18"/>
      <w:szCs w:val="18"/>
    </w:rPr>
  </w:style>
  <w:style w:type="character" w:styleId="Platzhaltertext">
    <w:name w:val="Placeholder Text"/>
    <w:basedOn w:val="Absatz-Standardschriftart"/>
    <w:uiPriority w:val="99"/>
    <w:semiHidden/>
    <w:rsid w:val="00515A39"/>
    <w:rPr>
      <w:color w:val="808080"/>
    </w:rPr>
  </w:style>
  <w:style w:type="character" w:styleId="Funotenzeichen">
    <w:name w:val="footnote reference"/>
    <w:basedOn w:val="Absatz-Standardschriftart"/>
    <w:uiPriority w:val="99"/>
    <w:unhideWhenUsed/>
    <w:rsid w:val="00515A39"/>
    <w:rPr>
      <w:vertAlign w:val="superscript"/>
    </w:rPr>
  </w:style>
  <w:style w:type="table" w:styleId="Tabellenraster">
    <w:name w:val="Table Grid"/>
    <w:basedOn w:val="NormaleTabelle"/>
    <w:uiPriority w:val="59"/>
    <w:rsid w:val="00515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berschrift4num-Arial-12pt">
    <w:name w:val="_UM_Überschrift4_num-Arial-12pt"/>
    <w:basedOn w:val="UM1Standard"/>
    <w:next w:val="UMFlietextArial-12pt"/>
    <w:qFormat/>
    <w:rsid w:val="00036625"/>
    <w:pPr>
      <w:numPr>
        <w:ilvl w:val="3"/>
        <w:numId w:val="5"/>
      </w:numPr>
      <w:spacing w:before="360" w:after="120" w:line="259" w:lineRule="auto"/>
      <w:outlineLvl w:val="3"/>
    </w:pPr>
  </w:style>
  <w:style w:type="paragraph" w:customStyle="1" w:styleId="UMEntwurf">
    <w:name w:val="_UM_Entwurf"/>
    <w:basedOn w:val="Standard"/>
    <w:link w:val="UMEntwurfZchn"/>
    <w:qFormat/>
    <w:rsid w:val="008D4F08"/>
    <w:pPr>
      <w:framePr w:w="10664" w:h="1276" w:hRule="exact" w:hSpace="181" w:wrap="around" w:vAnchor="page" w:hAnchor="page" w:x="562" w:y="363"/>
      <w:spacing w:line="221" w:lineRule="auto"/>
      <w:jc w:val="right"/>
    </w:pPr>
    <w:rPr>
      <w:rFonts w:cs="Arial"/>
      <w:vanish/>
      <w:kern w:val="20"/>
      <w:sz w:val="18"/>
      <w:szCs w:val="24"/>
    </w:rPr>
  </w:style>
  <w:style w:type="character" w:customStyle="1" w:styleId="UMEntwurfZchn">
    <w:name w:val="_UM_Entwurf Zchn"/>
    <w:basedOn w:val="UMFlietextArial-12ptZchn"/>
    <w:link w:val="UMEntwurf"/>
    <w:rsid w:val="008D4F08"/>
    <w:rPr>
      <w:rFonts w:ascii="Arial" w:hAnsi="Arial" w:cs="Arial"/>
      <w:vanish/>
      <w:kern w:val="20"/>
      <w:sz w:val="18"/>
      <w:szCs w:val="24"/>
    </w:rPr>
  </w:style>
  <w:style w:type="paragraph" w:customStyle="1" w:styleId="UMFlietextArial12pt-fett">
    <w:name w:val="_UM_Fließtext_Arial_12pt-fett"/>
    <w:basedOn w:val="UM1Standard"/>
    <w:next w:val="UMFlietextArial-12pt"/>
    <w:link w:val="UMFlietextArial12pt-fettZchn"/>
    <w:qFormat/>
    <w:rsid w:val="00681BEC"/>
    <w:pPr>
      <w:spacing w:before="40" w:after="320"/>
    </w:pPr>
    <w:rPr>
      <w:b/>
    </w:rPr>
  </w:style>
  <w:style w:type="character" w:customStyle="1" w:styleId="UMFlietextArial12pt-fettZchn">
    <w:name w:val="_UM_Fließtext_Arial_12pt-fett Zchn"/>
    <w:basedOn w:val="UM1StandardZchn"/>
    <w:link w:val="UMFlietextArial12pt-fett"/>
    <w:rsid w:val="00681BEC"/>
    <w:rPr>
      <w:rFonts w:ascii="Arial" w:hAnsi="Arial" w:cs="Arial"/>
      <w:b/>
      <w:kern w:val="20"/>
      <w:sz w:val="24"/>
      <w:szCs w:val="24"/>
    </w:rPr>
  </w:style>
  <w:style w:type="numbering" w:styleId="111111">
    <w:name w:val="Outline List 2"/>
    <w:basedOn w:val="KeineListe"/>
    <w:uiPriority w:val="99"/>
    <w:semiHidden/>
    <w:unhideWhenUsed/>
    <w:rsid w:val="0039705B"/>
    <w:pPr>
      <w:numPr>
        <w:numId w:val="62"/>
      </w:numPr>
    </w:pPr>
  </w:style>
  <w:style w:type="paragraph" w:customStyle="1" w:styleId="UMTagestermine">
    <w:name w:val="_UM_Tagestermine"/>
    <w:basedOn w:val="UM1Standard"/>
    <w:link w:val="UMTagestermineZchn"/>
    <w:qFormat/>
    <w:rsid w:val="00515A39"/>
    <w:pPr>
      <w:spacing w:before="120" w:line="240" w:lineRule="auto"/>
      <w:ind w:left="1984" w:hanging="1984"/>
    </w:pPr>
  </w:style>
  <w:style w:type="character" w:customStyle="1" w:styleId="UMTagestermineZchn">
    <w:name w:val="_UM_Tagestermine Zchn"/>
    <w:basedOn w:val="UM1StandardZchn"/>
    <w:link w:val="UMTagestermine"/>
    <w:rsid w:val="00515A39"/>
    <w:rPr>
      <w:rFonts w:ascii="Arial" w:hAnsi="Arial" w:cs="Arial"/>
      <w:kern w:val="20"/>
      <w:sz w:val="24"/>
      <w:szCs w:val="24"/>
    </w:rPr>
  </w:style>
  <w:style w:type="character" w:customStyle="1" w:styleId="FunotentextZchn">
    <w:name w:val="Fußnotentext Zchn"/>
    <w:basedOn w:val="Absatz-Standardschriftart"/>
    <w:link w:val="Funotentext"/>
    <w:uiPriority w:val="99"/>
    <w:rsid w:val="00515A39"/>
    <w:rPr>
      <w:sz w:val="20"/>
      <w:szCs w:val="20"/>
    </w:rPr>
  </w:style>
  <w:style w:type="character" w:customStyle="1" w:styleId="berschrift2Zchn">
    <w:name w:val="Überschrift 2 Zchn"/>
    <w:basedOn w:val="Absatz-Standardschriftart"/>
    <w:link w:val="berschrift2"/>
    <w:rsid w:val="00515A39"/>
    <w:rPr>
      <w:rFonts w:ascii="Arial" w:eastAsia="Times New Roman" w:hAnsi="Arial"/>
      <w:sz w:val="24"/>
      <w:lang w:eastAsia="de-DE"/>
    </w:rPr>
  </w:style>
  <w:style w:type="character" w:customStyle="1" w:styleId="berschrift3Zchn">
    <w:name w:val="Überschrift 3 Zchn"/>
    <w:basedOn w:val="Absatz-Standardschriftart"/>
    <w:link w:val="berschrift3"/>
    <w:semiHidden/>
    <w:rsid w:val="00515A39"/>
    <w:rPr>
      <w:rFonts w:asciiTheme="majorHAnsi" w:eastAsiaTheme="majorEastAsia" w:hAnsiTheme="majorHAnsi" w:cstheme="majorBidi"/>
      <w:b/>
      <w:bCs/>
      <w:color w:val="5B9BD5" w:themeColor="accent1"/>
      <w:sz w:val="24"/>
      <w:lang w:eastAsia="de-DE"/>
    </w:rPr>
  </w:style>
  <w:style w:type="character" w:customStyle="1" w:styleId="berschrift4Zchn">
    <w:name w:val="Überschrift 4 Zchn"/>
    <w:basedOn w:val="Absatz-Standardschriftart"/>
    <w:link w:val="berschrift4"/>
    <w:semiHidden/>
    <w:rsid w:val="00515A39"/>
    <w:rPr>
      <w:rFonts w:asciiTheme="majorHAnsi" w:eastAsiaTheme="majorEastAsia" w:hAnsiTheme="majorHAnsi" w:cstheme="majorBidi"/>
      <w:b/>
      <w:bCs/>
      <w:i/>
      <w:iCs/>
      <w:color w:val="5B9BD5" w:themeColor="accent1"/>
      <w:sz w:val="24"/>
      <w:lang w:eastAsia="de-DE"/>
    </w:rPr>
  </w:style>
  <w:style w:type="character" w:customStyle="1" w:styleId="berschrift5Zchn">
    <w:name w:val="Überschrift 5 Zchn"/>
    <w:basedOn w:val="Absatz-Standardschriftart"/>
    <w:link w:val="berschrift5"/>
    <w:semiHidden/>
    <w:rsid w:val="00515A39"/>
    <w:rPr>
      <w:rFonts w:asciiTheme="majorHAnsi" w:eastAsiaTheme="majorEastAsia" w:hAnsiTheme="majorHAnsi" w:cstheme="majorBidi"/>
      <w:color w:val="1F4D78" w:themeColor="accent1" w:themeShade="7F"/>
      <w:sz w:val="24"/>
      <w:lang w:eastAsia="de-DE"/>
    </w:rPr>
  </w:style>
  <w:style w:type="character" w:customStyle="1" w:styleId="berschrift6Zchn">
    <w:name w:val="Überschrift 6 Zchn"/>
    <w:basedOn w:val="Absatz-Standardschriftart"/>
    <w:link w:val="berschrift6"/>
    <w:semiHidden/>
    <w:rsid w:val="00515A39"/>
    <w:rPr>
      <w:rFonts w:asciiTheme="majorHAnsi" w:eastAsiaTheme="majorEastAsia" w:hAnsiTheme="majorHAnsi" w:cstheme="majorBidi"/>
      <w:i/>
      <w:iCs/>
      <w:color w:val="1F4D78" w:themeColor="accent1" w:themeShade="7F"/>
      <w:sz w:val="24"/>
      <w:lang w:eastAsia="de-DE"/>
    </w:rPr>
  </w:style>
  <w:style w:type="character" w:customStyle="1" w:styleId="berschrift7Zchn">
    <w:name w:val="Überschrift 7 Zchn"/>
    <w:basedOn w:val="Absatz-Standardschriftart"/>
    <w:link w:val="berschrift7"/>
    <w:semiHidden/>
    <w:rsid w:val="00515A39"/>
    <w:rPr>
      <w:rFonts w:asciiTheme="majorHAnsi" w:eastAsiaTheme="majorEastAsia" w:hAnsiTheme="majorHAnsi" w:cstheme="majorBidi"/>
      <w:i/>
      <w:iCs/>
      <w:color w:val="404040" w:themeColor="text1" w:themeTint="BF"/>
      <w:sz w:val="24"/>
      <w:lang w:eastAsia="de-DE"/>
    </w:rPr>
  </w:style>
  <w:style w:type="character" w:customStyle="1" w:styleId="berschrift8Zchn">
    <w:name w:val="Überschrift 8 Zchn"/>
    <w:basedOn w:val="Absatz-Standardschriftart"/>
    <w:link w:val="berschrift8"/>
    <w:semiHidden/>
    <w:rsid w:val="00515A39"/>
    <w:rPr>
      <w:rFonts w:asciiTheme="majorHAnsi" w:eastAsiaTheme="majorEastAsia" w:hAnsiTheme="majorHAnsi" w:cstheme="majorBidi"/>
      <w:color w:val="404040" w:themeColor="text1" w:themeTint="BF"/>
      <w:sz w:val="24"/>
      <w:lang w:eastAsia="de-DE"/>
    </w:rPr>
  </w:style>
  <w:style w:type="character" w:customStyle="1" w:styleId="berschrift9Zchn">
    <w:name w:val="Überschrift 9 Zchn"/>
    <w:basedOn w:val="Absatz-Standardschriftart"/>
    <w:link w:val="berschrift9"/>
    <w:semiHidden/>
    <w:rsid w:val="00515A39"/>
    <w:rPr>
      <w:rFonts w:asciiTheme="majorHAnsi" w:eastAsiaTheme="majorEastAsia" w:hAnsiTheme="majorHAnsi" w:cstheme="majorBidi"/>
      <w:i/>
      <w:iCs/>
      <w:color w:val="404040" w:themeColor="text1" w:themeTint="BF"/>
      <w:sz w:val="24"/>
      <w:lang w:eastAsia="de-DE"/>
    </w:rPr>
  </w:style>
  <w:style w:type="character" w:customStyle="1" w:styleId="UMSeitenzahl-Arial-8ptZchn">
    <w:name w:val="_UM_Seitenzahl-Arial-8pt Zchn"/>
    <w:basedOn w:val="Absatz-Standardschriftart"/>
    <w:link w:val="UMSeitenzahl-Arial-8pt"/>
    <w:rsid w:val="00182897"/>
    <w:rPr>
      <w:rFonts w:ascii="Arial" w:eastAsia="Times" w:hAnsi="Arial" w:cs="Arial"/>
      <w:kern w:val="20"/>
      <w:sz w:val="16"/>
      <w:szCs w:val="22"/>
    </w:rPr>
  </w:style>
  <w:style w:type="paragraph" w:customStyle="1" w:styleId="UMAbbildg">
    <w:name w:val="_UM_Abbildg"/>
    <w:basedOn w:val="UM1Standard"/>
    <w:next w:val="UMFlietextArial-12pt"/>
    <w:qFormat/>
    <w:rsid w:val="00D04CA0"/>
    <w:pPr>
      <w:spacing w:before="120" w:line="240" w:lineRule="auto"/>
    </w:pPr>
    <w:rPr>
      <w:noProof/>
      <w:lang w:eastAsia="de-DE"/>
    </w:rPr>
  </w:style>
  <w:style w:type="character" w:customStyle="1" w:styleId="UMListeFortsetzungArial-12ptEbene2Zchn">
    <w:name w:val="_UM_Liste_Fortsetzung_Arial-12pt_Ebene2 Zchn"/>
    <w:basedOn w:val="UM1StandardZchn"/>
    <w:link w:val="UMListeFortsetzungArial-12ptEbene2"/>
    <w:rsid w:val="003E38A6"/>
    <w:rPr>
      <w:rFonts w:ascii="Arial" w:eastAsia="Times New Roman" w:hAnsi="Arial" w:cs="Arial"/>
      <w:kern w:val="20"/>
      <w:sz w:val="24"/>
      <w:szCs w:val="24"/>
    </w:rPr>
  </w:style>
  <w:style w:type="paragraph" w:customStyle="1" w:styleId="UMListeFortsetzungArial-12ptEbene2">
    <w:name w:val="_UM_Liste_Fortsetzung_Arial-12pt_Ebene2"/>
    <w:basedOn w:val="Standard"/>
    <w:link w:val="UMListeFortsetzungArial-12ptEbene2Zchn"/>
    <w:autoRedefine/>
    <w:qFormat/>
    <w:rsid w:val="003E38A6"/>
    <w:pPr>
      <w:spacing w:after="120" w:line="360" w:lineRule="atLeast"/>
      <w:ind w:left="1418"/>
    </w:pPr>
    <w:rPr>
      <w:kern w:val="20"/>
    </w:rPr>
  </w:style>
  <w:style w:type="paragraph" w:customStyle="1" w:styleId="BW1Standard">
    <w:name w:val="BW_1Standard"/>
    <w:link w:val="BW1StandardZchn"/>
    <w:qFormat/>
    <w:rsid w:val="00033850"/>
    <w:pPr>
      <w:spacing w:line="360" w:lineRule="atLeast"/>
    </w:pPr>
    <w:rPr>
      <w:rFonts w:ascii="Arial" w:hAnsi="Arial" w:cs="Arial"/>
      <w:kern w:val="20"/>
      <w:sz w:val="24"/>
      <w:szCs w:val="24"/>
    </w:rPr>
  </w:style>
  <w:style w:type="character" w:customStyle="1" w:styleId="BW1StandardZchn">
    <w:name w:val="BW_1Standard Zchn"/>
    <w:basedOn w:val="UMFlietextArial-12ptZchn"/>
    <w:link w:val="BW1Standard"/>
    <w:rsid w:val="00033850"/>
    <w:rPr>
      <w:rFonts w:ascii="Arial" w:hAnsi="Arial" w:cs="Arial"/>
      <w:kern w:val="20"/>
      <w:sz w:val="24"/>
      <w:szCs w:val="24"/>
    </w:rPr>
  </w:style>
  <w:style w:type="paragraph" w:customStyle="1" w:styleId="BW1StandardFett">
    <w:name w:val="BW_1StandardFett"/>
    <w:link w:val="BW1StandardFettZchn"/>
    <w:qFormat/>
    <w:rsid w:val="00033850"/>
    <w:pPr>
      <w:spacing w:line="360" w:lineRule="atLeast"/>
    </w:pPr>
    <w:rPr>
      <w:rFonts w:ascii="Arial" w:hAnsi="Arial" w:cs="Arial"/>
      <w:b/>
      <w:kern w:val="20"/>
      <w:sz w:val="24"/>
      <w:szCs w:val="24"/>
    </w:rPr>
  </w:style>
  <w:style w:type="character" w:customStyle="1" w:styleId="BW1StandardFettZchn">
    <w:name w:val="BW_1StandardFett Zchn"/>
    <w:basedOn w:val="UMFlietextArial-12ptZchn"/>
    <w:link w:val="BW1StandardFett"/>
    <w:rsid w:val="00033850"/>
    <w:rPr>
      <w:rFonts w:ascii="Arial" w:hAnsi="Arial" w:cs="Arial"/>
      <w:b/>
      <w:kern w:val="20"/>
      <w:sz w:val="24"/>
      <w:szCs w:val="24"/>
    </w:rPr>
  </w:style>
  <w:style w:type="paragraph" w:customStyle="1" w:styleId="BW4StandardEinzeilig">
    <w:name w:val="BW_4StandardEinzeilig"/>
    <w:basedOn w:val="BW1Standard"/>
    <w:link w:val="BW4StandardEinzeiligZchn"/>
    <w:qFormat/>
    <w:rsid w:val="00033850"/>
    <w:pPr>
      <w:spacing w:line="240" w:lineRule="auto"/>
    </w:pPr>
  </w:style>
  <w:style w:type="character" w:customStyle="1" w:styleId="BW4StandardEinzeiligZchn">
    <w:name w:val="BW_4StandardEinzeilig Zchn"/>
    <w:basedOn w:val="UMFlietextArial-12ptZchn"/>
    <w:link w:val="BW4StandardEinzeilig"/>
    <w:rsid w:val="00033850"/>
    <w:rPr>
      <w:rFonts w:ascii="Arial" w:hAnsi="Arial" w:cs="Arial"/>
      <w:kern w:val="20"/>
      <w:sz w:val="24"/>
      <w:szCs w:val="24"/>
    </w:rPr>
  </w:style>
  <w:style w:type="paragraph" w:customStyle="1" w:styleId="BW4Seitenzahl">
    <w:name w:val="BW_4Seitenzahl"/>
    <w:basedOn w:val="BW1Standard"/>
    <w:link w:val="BW4SeitenzahlZchn"/>
    <w:qFormat/>
    <w:rsid w:val="00033850"/>
    <w:pPr>
      <w:spacing w:line="240" w:lineRule="atLeast"/>
      <w:jc w:val="center"/>
    </w:pPr>
    <w:rPr>
      <w:sz w:val="16"/>
    </w:rPr>
  </w:style>
  <w:style w:type="character" w:customStyle="1" w:styleId="BW4SeitenzahlZchn">
    <w:name w:val="BW_4Seitenzahl Zchn"/>
    <w:basedOn w:val="UMFlietextArial-12ptZchn"/>
    <w:link w:val="BW4Seitenzahl"/>
    <w:rsid w:val="00033850"/>
    <w:rPr>
      <w:rFonts w:ascii="Arial" w:hAnsi="Arial" w:cs="Arial"/>
      <w:kern w:val="20"/>
      <w:sz w:val="16"/>
      <w:szCs w:val="24"/>
    </w:rPr>
  </w:style>
  <w:style w:type="paragraph" w:customStyle="1" w:styleId="BW2berschrift">
    <w:name w:val="BW_2Überschrift"/>
    <w:basedOn w:val="BW1Standard"/>
    <w:next w:val="BW1Standard"/>
    <w:link w:val="BW2berschriftZchn"/>
    <w:qFormat/>
    <w:rsid w:val="00033850"/>
    <w:pPr>
      <w:spacing w:before="240" w:line="240" w:lineRule="auto"/>
    </w:pPr>
    <w:rPr>
      <w:b/>
    </w:rPr>
  </w:style>
  <w:style w:type="character" w:customStyle="1" w:styleId="BW2berschriftZchn">
    <w:name w:val="BW_2Überschrift Zchn"/>
    <w:basedOn w:val="UMFlietextArial-12ptZchn"/>
    <w:link w:val="BW2berschrift"/>
    <w:rsid w:val="00033850"/>
    <w:rPr>
      <w:rFonts w:ascii="Arial" w:hAnsi="Arial" w:cs="Arial"/>
      <w:b/>
      <w:kern w:val="20"/>
      <w:sz w:val="24"/>
      <w:szCs w:val="24"/>
    </w:rPr>
  </w:style>
  <w:style w:type="paragraph" w:customStyle="1" w:styleId="BW3Absenderangabe">
    <w:name w:val="BW_3Absenderangabe"/>
    <w:basedOn w:val="BW1Standard"/>
    <w:link w:val="BW3AbsenderangabeZchn"/>
    <w:qFormat/>
    <w:rsid w:val="00033850"/>
    <w:pPr>
      <w:spacing w:line="240" w:lineRule="atLeast"/>
    </w:pPr>
    <w:rPr>
      <w:sz w:val="16"/>
    </w:rPr>
  </w:style>
  <w:style w:type="character" w:customStyle="1" w:styleId="BW3AbsenderangabeZchn">
    <w:name w:val="BW_3Absenderangabe Zchn"/>
    <w:basedOn w:val="UMFlietextArial-12ptZchn"/>
    <w:link w:val="BW3Absenderangabe"/>
    <w:rsid w:val="00033850"/>
    <w:rPr>
      <w:rFonts w:ascii="Arial" w:hAnsi="Arial" w:cs="Arial"/>
      <w:kern w:val="20"/>
      <w:sz w:val="16"/>
      <w:szCs w:val="24"/>
    </w:rPr>
  </w:style>
  <w:style w:type="paragraph" w:customStyle="1" w:styleId="BW3Empfngeranschrift">
    <w:name w:val="BW_3Empfängeranschrift"/>
    <w:basedOn w:val="BW1Standard"/>
    <w:link w:val="BW3EmpfngeranschriftZchn"/>
    <w:qFormat/>
    <w:rsid w:val="00033850"/>
    <w:pPr>
      <w:spacing w:line="264" w:lineRule="auto"/>
    </w:pPr>
  </w:style>
  <w:style w:type="character" w:customStyle="1" w:styleId="BW3EmpfngeranschriftZchn">
    <w:name w:val="BW_3Empfängeranschrift Zchn"/>
    <w:basedOn w:val="UMFlietextArial-12ptZchn"/>
    <w:link w:val="BW3Empfngeranschrift"/>
    <w:rsid w:val="00033850"/>
    <w:rPr>
      <w:rFonts w:ascii="Arial" w:hAnsi="Arial" w:cs="Arial"/>
      <w:kern w:val="20"/>
      <w:sz w:val="24"/>
      <w:szCs w:val="24"/>
    </w:rPr>
  </w:style>
  <w:style w:type="paragraph" w:customStyle="1" w:styleId="BW3InfoblockLinks">
    <w:name w:val="BW_3InfoblockLinks"/>
    <w:basedOn w:val="BW1Standard"/>
    <w:link w:val="BW3InfoblockLinksZchn"/>
    <w:qFormat/>
    <w:rsid w:val="00033850"/>
    <w:pPr>
      <w:spacing w:line="240" w:lineRule="atLeast"/>
      <w:jc w:val="right"/>
    </w:pPr>
    <w:rPr>
      <w:sz w:val="16"/>
    </w:rPr>
  </w:style>
  <w:style w:type="character" w:customStyle="1" w:styleId="BW3InfoblockLinksZchn">
    <w:name w:val="BW_3InfoblockLinks Zchn"/>
    <w:basedOn w:val="UMFlietextArial-12ptZchn"/>
    <w:link w:val="BW3InfoblockLinks"/>
    <w:rsid w:val="00033850"/>
    <w:rPr>
      <w:rFonts w:ascii="Arial" w:hAnsi="Arial" w:cs="Arial"/>
      <w:kern w:val="20"/>
      <w:sz w:val="16"/>
      <w:szCs w:val="24"/>
    </w:rPr>
  </w:style>
  <w:style w:type="paragraph" w:customStyle="1" w:styleId="BW3InfoblockRechts">
    <w:name w:val="BW_3InfoblockRechts"/>
    <w:basedOn w:val="BW1Standard"/>
    <w:link w:val="BW3InfoblockRechtsZchn"/>
    <w:qFormat/>
    <w:rsid w:val="00033850"/>
    <w:pPr>
      <w:spacing w:line="240" w:lineRule="atLeast"/>
    </w:pPr>
    <w:rPr>
      <w:sz w:val="16"/>
    </w:rPr>
  </w:style>
  <w:style w:type="character" w:customStyle="1" w:styleId="BW3InfoblockRechtsZchn">
    <w:name w:val="BW_3InfoblockRechts Zchn"/>
    <w:basedOn w:val="UMFlietextArial-12ptZchn"/>
    <w:link w:val="BW3InfoblockRechts"/>
    <w:rsid w:val="00033850"/>
    <w:rPr>
      <w:rFonts w:ascii="Arial" w:hAnsi="Arial" w:cs="Arial"/>
      <w:kern w:val="20"/>
      <w:sz w:val="16"/>
      <w:szCs w:val="24"/>
    </w:rPr>
  </w:style>
  <w:style w:type="paragraph" w:customStyle="1" w:styleId="BW4Fuzeile">
    <w:name w:val="BW_4Fußzeile"/>
    <w:basedOn w:val="BW1Standard"/>
    <w:link w:val="BW4FuzeileZchn"/>
    <w:qFormat/>
    <w:rsid w:val="00033850"/>
    <w:pPr>
      <w:spacing w:line="240" w:lineRule="atLeast"/>
      <w:jc w:val="center"/>
    </w:pPr>
    <w:rPr>
      <w:sz w:val="16"/>
    </w:rPr>
  </w:style>
  <w:style w:type="character" w:customStyle="1" w:styleId="BW4FuzeileZchn">
    <w:name w:val="BW_4Fußzeile Zchn"/>
    <w:basedOn w:val="UMFlietextArial-12ptZchn"/>
    <w:link w:val="BW4Fuzeile"/>
    <w:rsid w:val="00033850"/>
    <w:rPr>
      <w:rFonts w:ascii="Arial" w:hAnsi="Arial" w:cs="Arial"/>
      <w:kern w:val="20"/>
      <w:sz w:val="16"/>
      <w:szCs w:val="24"/>
    </w:rPr>
  </w:style>
  <w:style w:type="paragraph" w:customStyle="1" w:styleId="BW5Kopf">
    <w:name w:val="BW_5Kopf"/>
    <w:basedOn w:val="BW1Standard"/>
    <w:link w:val="BW5KopfZchn"/>
    <w:qFormat/>
    <w:rsid w:val="00033850"/>
    <w:pPr>
      <w:spacing w:line="240" w:lineRule="atLeast"/>
      <w:jc w:val="center"/>
    </w:pPr>
    <w:rPr>
      <w:sz w:val="18"/>
    </w:rPr>
  </w:style>
  <w:style w:type="character" w:customStyle="1" w:styleId="BW5KopfZchn">
    <w:name w:val="BW_5Kopf Zchn"/>
    <w:basedOn w:val="UMFlietextArial-12ptZchn"/>
    <w:link w:val="BW5Kopf"/>
    <w:rsid w:val="00033850"/>
    <w:rPr>
      <w:rFonts w:ascii="Arial" w:hAnsi="Arial" w:cs="Arial"/>
      <w:kern w:val="20"/>
      <w:sz w:val="18"/>
      <w:szCs w:val="24"/>
    </w:rPr>
  </w:style>
  <w:style w:type="paragraph" w:customStyle="1" w:styleId="BW5Entwurf">
    <w:name w:val="BW_5Entwurf"/>
    <w:basedOn w:val="BW1Standard"/>
    <w:link w:val="BW5EntwurfZchn"/>
    <w:qFormat/>
    <w:rsid w:val="00033850"/>
    <w:pPr>
      <w:framePr w:w="10664" w:h="1276" w:hRule="exact" w:hSpace="181" w:wrap="around" w:vAnchor="page" w:hAnchor="page" w:x="562" w:y="363"/>
      <w:spacing w:line="221" w:lineRule="auto"/>
      <w:jc w:val="right"/>
    </w:pPr>
    <w:rPr>
      <w:vanish/>
      <w:sz w:val="18"/>
    </w:rPr>
  </w:style>
  <w:style w:type="character" w:customStyle="1" w:styleId="BW5EntwurfZchn">
    <w:name w:val="BW_5Entwurf Zchn"/>
    <w:basedOn w:val="UMFlietextArial-12ptZchn"/>
    <w:link w:val="BW5Entwurf"/>
    <w:rsid w:val="00033850"/>
    <w:rPr>
      <w:rFonts w:ascii="Arial" w:hAnsi="Arial" w:cs="Arial"/>
      <w:vanish/>
      <w:kern w:val="20"/>
      <w:sz w:val="18"/>
      <w:szCs w:val="24"/>
    </w:rPr>
  </w:style>
  <w:style w:type="paragraph" w:customStyle="1" w:styleId="BWTagestermine">
    <w:name w:val="BW_Tagestermine"/>
    <w:basedOn w:val="BW1Standard"/>
    <w:link w:val="BWTagestermineZchn"/>
    <w:qFormat/>
    <w:rsid w:val="00033850"/>
    <w:pPr>
      <w:spacing w:before="120" w:line="240" w:lineRule="auto"/>
      <w:ind w:left="1701" w:hanging="1701"/>
    </w:pPr>
  </w:style>
  <w:style w:type="character" w:customStyle="1" w:styleId="BWTagestermineZchn">
    <w:name w:val="BW_Tagestermine Zchn"/>
    <w:basedOn w:val="UMFlietextArial-12ptZchn"/>
    <w:link w:val="BWTagestermine"/>
    <w:rsid w:val="00033850"/>
    <w:rPr>
      <w:rFonts w:ascii="Arial" w:hAnsi="Arial" w:cs="Arial"/>
      <w:kern w:val="20"/>
      <w:sz w:val="24"/>
      <w:szCs w:val="24"/>
    </w:rPr>
  </w:style>
  <w:style w:type="paragraph" w:customStyle="1" w:styleId="BW2Aufzhlung">
    <w:name w:val="BW_2Aufzählung"/>
    <w:basedOn w:val="BW1Standard"/>
    <w:link w:val="BW2AufzhlungZchn"/>
    <w:qFormat/>
    <w:rsid w:val="00033850"/>
    <w:pPr>
      <w:numPr>
        <w:numId w:val="18"/>
      </w:numPr>
      <w:tabs>
        <w:tab w:val="clear" w:pos="0"/>
      </w:tabs>
    </w:pPr>
  </w:style>
  <w:style w:type="character" w:customStyle="1" w:styleId="BW2AufzhlungZchn">
    <w:name w:val="BW_2Aufzählung Zchn"/>
    <w:basedOn w:val="UMFlietextArial-12ptZchn"/>
    <w:link w:val="BW2Aufzhlung"/>
    <w:rsid w:val="00033850"/>
    <w:rPr>
      <w:rFonts w:ascii="Arial" w:hAnsi="Arial" w:cs="Arial"/>
      <w:kern w:val="20"/>
      <w:sz w:val="24"/>
      <w:szCs w:val="24"/>
    </w:rPr>
  </w:style>
  <w:style w:type="paragraph" w:customStyle="1" w:styleId="BW2Nummeriert">
    <w:name w:val="BW_2Nummeriert"/>
    <w:basedOn w:val="BW1Standard"/>
    <w:link w:val="BW2NummeriertZchn"/>
    <w:qFormat/>
    <w:rsid w:val="00033850"/>
    <w:pPr>
      <w:numPr>
        <w:numId w:val="19"/>
      </w:numPr>
      <w:tabs>
        <w:tab w:val="clear" w:pos="0"/>
      </w:tabs>
    </w:pPr>
  </w:style>
  <w:style w:type="character" w:customStyle="1" w:styleId="BW2NummeriertZchn">
    <w:name w:val="BW_2Nummeriert Zchn"/>
    <w:basedOn w:val="UMFlietextArial-12ptZchn"/>
    <w:link w:val="BW2Nummeriert"/>
    <w:rsid w:val="00033850"/>
    <w:rPr>
      <w:rFonts w:ascii="Arial" w:hAnsi="Arial" w:cs="Arial"/>
      <w:kern w:val="20"/>
      <w:sz w:val="24"/>
      <w:szCs w:val="24"/>
    </w:rPr>
  </w:style>
  <w:style w:type="paragraph" w:customStyle="1" w:styleId="BW2Gliederung1">
    <w:name w:val="BW_2Gliederung1"/>
    <w:basedOn w:val="BW1Standard"/>
    <w:next w:val="BW1Standard"/>
    <w:link w:val="BW2Gliederung1Zchn"/>
    <w:qFormat/>
    <w:rsid w:val="00FB1276"/>
    <w:pPr>
      <w:ind w:left="850" w:hanging="850"/>
    </w:pPr>
  </w:style>
  <w:style w:type="character" w:customStyle="1" w:styleId="BW2Gliederung1Zchn">
    <w:name w:val="BW_2Gliederung1 Zchn"/>
    <w:basedOn w:val="UMFlietextArial-12ptZchn"/>
    <w:link w:val="BW2Gliederung1"/>
    <w:rsid w:val="00033850"/>
    <w:rPr>
      <w:rFonts w:ascii="Arial" w:hAnsi="Arial" w:cs="Arial"/>
      <w:kern w:val="20"/>
      <w:sz w:val="24"/>
      <w:szCs w:val="24"/>
    </w:rPr>
  </w:style>
  <w:style w:type="paragraph" w:customStyle="1" w:styleId="BW2Gliederung2">
    <w:name w:val="BW_2Gliederung2"/>
    <w:basedOn w:val="BW1Standard"/>
    <w:next w:val="BW1Standard"/>
    <w:link w:val="BW2Gliederung2Zchn"/>
    <w:qFormat/>
    <w:rsid w:val="00FB1276"/>
    <w:pPr>
      <w:ind w:left="850" w:hanging="850"/>
    </w:pPr>
  </w:style>
  <w:style w:type="character" w:customStyle="1" w:styleId="BW2Gliederung2Zchn">
    <w:name w:val="BW_2Gliederung2 Zchn"/>
    <w:basedOn w:val="UMFlietextArial-12ptZchn"/>
    <w:link w:val="BW2Gliederung2"/>
    <w:rsid w:val="00033850"/>
    <w:rPr>
      <w:rFonts w:ascii="Arial" w:hAnsi="Arial" w:cs="Arial"/>
      <w:kern w:val="20"/>
      <w:sz w:val="24"/>
      <w:szCs w:val="24"/>
    </w:rPr>
  </w:style>
  <w:style w:type="paragraph" w:customStyle="1" w:styleId="BW2Gliederung3">
    <w:name w:val="BW_2Gliederung3"/>
    <w:basedOn w:val="BW1Standard"/>
    <w:next w:val="BW1Standard"/>
    <w:link w:val="BW2Gliederung3Zchn"/>
    <w:qFormat/>
    <w:rsid w:val="00FB1276"/>
    <w:pPr>
      <w:ind w:left="850" w:hanging="850"/>
    </w:pPr>
  </w:style>
  <w:style w:type="character" w:customStyle="1" w:styleId="BW2Gliederung3Zchn">
    <w:name w:val="BW_2Gliederung3 Zchn"/>
    <w:basedOn w:val="UMFlietextArial-12ptZchn"/>
    <w:link w:val="BW2Gliederung3"/>
    <w:rsid w:val="00033850"/>
    <w:rPr>
      <w:rFonts w:ascii="Arial" w:hAnsi="Arial" w:cs="Arial"/>
      <w:kern w:val="20"/>
      <w:sz w:val="24"/>
      <w:szCs w:val="24"/>
    </w:rPr>
  </w:style>
  <w:style w:type="paragraph" w:customStyle="1" w:styleId="BW2Gliederung4">
    <w:name w:val="BW_2Gliederung4"/>
    <w:basedOn w:val="BW1Standard"/>
    <w:next w:val="BW1Standard"/>
    <w:link w:val="BW2Gliederung4Zchn"/>
    <w:qFormat/>
    <w:rsid w:val="00FB1276"/>
    <w:pPr>
      <w:ind w:left="850" w:hanging="850"/>
    </w:pPr>
  </w:style>
  <w:style w:type="character" w:customStyle="1" w:styleId="BW2Gliederung4Zchn">
    <w:name w:val="BW_2Gliederung4 Zchn"/>
    <w:basedOn w:val="UMFlietextArial-12ptZchn"/>
    <w:link w:val="BW2Gliederung4"/>
    <w:rsid w:val="00033850"/>
    <w:rPr>
      <w:rFonts w:ascii="Arial" w:hAnsi="Arial" w:cs="Arial"/>
      <w:kern w:val="20"/>
      <w:sz w:val="24"/>
      <w:szCs w:val="24"/>
    </w:rPr>
  </w:style>
  <w:style w:type="paragraph" w:customStyle="1" w:styleId="UMZitatQuelleArial-12pt">
    <w:name w:val="_UM_Zitat_Quelle_Arial-12pt"/>
    <w:basedOn w:val="UM1Standard"/>
    <w:next w:val="UMFlietextArial-12pt"/>
    <w:link w:val="UMZitatQuelleArial-12ptZchn"/>
    <w:qFormat/>
    <w:rsid w:val="00713E46"/>
    <w:pPr>
      <w:spacing w:before="120" w:after="240"/>
    </w:pPr>
    <w:rPr>
      <w:smallCaps/>
    </w:rPr>
  </w:style>
  <w:style w:type="character" w:customStyle="1" w:styleId="UMZitatQuelleArial-12ptZchn">
    <w:name w:val="_UM_Zitat_Quelle_Arial-12pt Zchn"/>
    <w:basedOn w:val="UM1StandardZchn"/>
    <w:link w:val="UMZitatQuelleArial-12pt"/>
    <w:rsid w:val="00713E46"/>
    <w:rPr>
      <w:rFonts w:ascii="Arial" w:hAnsi="Arial" w:cs="Arial"/>
      <w:smallCaps/>
      <w:kern w:val="20"/>
      <w:sz w:val="24"/>
      <w:szCs w:val="24"/>
    </w:rPr>
  </w:style>
  <w:style w:type="paragraph" w:styleId="Listenabsatz">
    <w:name w:val="List Paragraph"/>
    <w:basedOn w:val="Standard"/>
    <w:uiPriority w:val="34"/>
    <w:qFormat/>
    <w:rsid w:val="00F3316C"/>
    <w:pPr>
      <w:ind w:left="720"/>
      <w:contextualSpacing/>
    </w:pPr>
  </w:style>
  <w:style w:type="character" w:styleId="Kommentarzeichen">
    <w:name w:val="annotation reference"/>
    <w:basedOn w:val="Absatz-Standardschriftart"/>
    <w:uiPriority w:val="99"/>
    <w:semiHidden/>
    <w:unhideWhenUsed/>
    <w:rsid w:val="00A32CBB"/>
    <w:rPr>
      <w:sz w:val="16"/>
      <w:szCs w:val="16"/>
    </w:rPr>
  </w:style>
  <w:style w:type="paragraph" w:styleId="Kommentartext">
    <w:name w:val="annotation text"/>
    <w:basedOn w:val="Standard"/>
    <w:link w:val="KommentartextZchn"/>
    <w:uiPriority w:val="99"/>
    <w:unhideWhenUsed/>
    <w:rsid w:val="00A32CBB"/>
    <w:rPr>
      <w:sz w:val="20"/>
    </w:rPr>
  </w:style>
  <w:style w:type="character" w:customStyle="1" w:styleId="KommentartextZchn">
    <w:name w:val="Kommentartext Zchn"/>
    <w:basedOn w:val="Absatz-Standardschriftart"/>
    <w:link w:val="Kommentartext"/>
    <w:uiPriority w:val="99"/>
    <w:rsid w:val="00A32CBB"/>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A32CBB"/>
    <w:rPr>
      <w:b/>
      <w:bCs/>
    </w:rPr>
  </w:style>
  <w:style w:type="character" w:customStyle="1" w:styleId="KommentarthemaZchn">
    <w:name w:val="Kommentarthema Zchn"/>
    <w:basedOn w:val="KommentartextZchn"/>
    <w:link w:val="Kommentarthema"/>
    <w:uiPriority w:val="99"/>
    <w:semiHidden/>
    <w:rsid w:val="00A32CBB"/>
    <w:rPr>
      <w:rFonts w:ascii="Arial" w:eastAsia="Times New Roman" w:hAnsi="Arial"/>
      <w:b/>
      <w:bCs/>
      <w:lang w:eastAsia="de-DE"/>
    </w:rPr>
  </w:style>
  <w:style w:type="paragraph" w:styleId="Sprechblasentext">
    <w:name w:val="Balloon Text"/>
    <w:basedOn w:val="Standard"/>
    <w:link w:val="SprechblasentextZchn"/>
    <w:uiPriority w:val="99"/>
    <w:semiHidden/>
    <w:unhideWhenUsed/>
    <w:rsid w:val="00A32CB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CBB"/>
    <w:rPr>
      <w:rFonts w:ascii="Segoe UI" w:eastAsia="Times New Roman" w:hAnsi="Segoe UI" w:cs="Segoe UI"/>
      <w:sz w:val="18"/>
      <w:szCs w:val="18"/>
      <w:lang w:eastAsia="de-DE"/>
    </w:rPr>
  </w:style>
  <w:style w:type="paragraph" w:styleId="berarbeitung">
    <w:name w:val="Revision"/>
    <w:hidden/>
    <w:uiPriority w:val="99"/>
    <w:semiHidden/>
    <w:rsid w:val="003019D3"/>
    <w:rPr>
      <w:rFonts w:ascii="Arial" w:eastAsia="Times New Roman" w:hAnsi="Arial"/>
      <w:sz w:val="24"/>
      <w:lang w:eastAsia="de-DE"/>
    </w:rPr>
  </w:style>
  <w:style w:type="paragraph" w:styleId="StandardWeb">
    <w:name w:val="Normal (Web)"/>
    <w:basedOn w:val="Standard"/>
    <w:uiPriority w:val="99"/>
    <w:semiHidden/>
    <w:unhideWhenUsed/>
    <w:rsid w:val="00ED06EC"/>
    <w:rPr>
      <w:rFonts w:ascii="Times New Roman" w:hAnsi="Times New Roman"/>
      <w:szCs w:val="24"/>
    </w:rPr>
  </w:style>
  <w:style w:type="paragraph" w:customStyle="1" w:styleId="UMFlietextArial12pt">
    <w:name w:val="UM_Fließtext_Arial_12pt"/>
    <w:basedOn w:val="Standard"/>
    <w:link w:val="UMFlietextArial12ptZchn"/>
    <w:qFormat/>
    <w:rsid w:val="00AB394F"/>
    <w:pPr>
      <w:overflowPunct/>
      <w:autoSpaceDE/>
      <w:autoSpaceDN/>
      <w:adjustRightInd/>
      <w:spacing w:after="360" w:line="360" w:lineRule="atLeast"/>
      <w:textAlignment w:val="auto"/>
    </w:pPr>
    <w:rPr>
      <w:rFonts w:eastAsiaTheme="minorHAnsi" w:cs="Arial"/>
      <w:kern w:val="20"/>
      <w:szCs w:val="24"/>
      <w:lang w:eastAsia="en-US"/>
    </w:rPr>
  </w:style>
  <w:style w:type="character" w:customStyle="1" w:styleId="UMFlietextArial12ptZchn">
    <w:name w:val="UM_Fließtext_Arial_12pt Zchn"/>
    <w:basedOn w:val="Absatz-Standardschriftart"/>
    <w:link w:val="UMFlietextArial12pt"/>
    <w:rsid w:val="00AB394F"/>
    <w:rPr>
      <w:rFonts w:ascii="Arial" w:hAnsi="Arial" w:cs="Arial"/>
      <w:kern w:val="20"/>
      <w:sz w:val="24"/>
      <w:szCs w:val="24"/>
    </w:rPr>
  </w:style>
  <w:style w:type="character" w:styleId="Hyperlink">
    <w:name w:val="Hyperlink"/>
    <w:basedOn w:val="Absatz-Standardschriftart"/>
    <w:uiPriority w:val="99"/>
    <w:unhideWhenUsed/>
    <w:rsid w:val="00DD7376"/>
    <w:rPr>
      <w:color w:val="0563C1" w:themeColor="hyperlink"/>
      <w:u w:val="single"/>
    </w:rPr>
  </w:style>
  <w:style w:type="character" w:styleId="BesuchterLink">
    <w:name w:val="FollowedHyperlink"/>
    <w:basedOn w:val="Absatz-Standardschriftart"/>
    <w:uiPriority w:val="99"/>
    <w:semiHidden/>
    <w:unhideWhenUsed/>
    <w:rsid w:val="00586212"/>
    <w:rPr>
      <w:color w:val="954F72" w:themeColor="followedHyperlink"/>
      <w:u w:val="single"/>
    </w:rPr>
  </w:style>
  <w:style w:type="character" w:styleId="NichtaufgelsteErwhnung">
    <w:name w:val="Unresolved Mention"/>
    <w:basedOn w:val="Absatz-Standardschriftart"/>
    <w:uiPriority w:val="99"/>
    <w:semiHidden/>
    <w:unhideWhenUsed/>
    <w:rsid w:val="0082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2662">
      <w:bodyDiv w:val="1"/>
      <w:marLeft w:val="0"/>
      <w:marRight w:val="0"/>
      <w:marTop w:val="0"/>
      <w:marBottom w:val="0"/>
      <w:divBdr>
        <w:top w:val="none" w:sz="0" w:space="0" w:color="auto"/>
        <w:left w:val="none" w:sz="0" w:space="0" w:color="auto"/>
        <w:bottom w:val="none" w:sz="0" w:space="0" w:color="auto"/>
        <w:right w:val="none" w:sz="0" w:space="0" w:color="auto"/>
      </w:divBdr>
    </w:div>
    <w:div w:id="82724577">
      <w:bodyDiv w:val="1"/>
      <w:marLeft w:val="0"/>
      <w:marRight w:val="0"/>
      <w:marTop w:val="0"/>
      <w:marBottom w:val="0"/>
      <w:divBdr>
        <w:top w:val="none" w:sz="0" w:space="0" w:color="auto"/>
        <w:left w:val="none" w:sz="0" w:space="0" w:color="auto"/>
        <w:bottom w:val="none" w:sz="0" w:space="0" w:color="auto"/>
        <w:right w:val="none" w:sz="0" w:space="0" w:color="auto"/>
      </w:divBdr>
    </w:div>
    <w:div w:id="116066563">
      <w:bodyDiv w:val="1"/>
      <w:marLeft w:val="0"/>
      <w:marRight w:val="0"/>
      <w:marTop w:val="0"/>
      <w:marBottom w:val="0"/>
      <w:divBdr>
        <w:top w:val="none" w:sz="0" w:space="0" w:color="auto"/>
        <w:left w:val="none" w:sz="0" w:space="0" w:color="auto"/>
        <w:bottom w:val="none" w:sz="0" w:space="0" w:color="auto"/>
        <w:right w:val="none" w:sz="0" w:space="0" w:color="auto"/>
      </w:divBdr>
      <w:divsChild>
        <w:div w:id="616914187">
          <w:marLeft w:val="0"/>
          <w:marRight w:val="0"/>
          <w:marTop w:val="0"/>
          <w:marBottom w:val="0"/>
          <w:divBdr>
            <w:top w:val="none" w:sz="0" w:space="0" w:color="auto"/>
            <w:left w:val="none" w:sz="0" w:space="0" w:color="auto"/>
            <w:bottom w:val="none" w:sz="0" w:space="0" w:color="auto"/>
            <w:right w:val="none" w:sz="0" w:space="0" w:color="auto"/>
          </w:divBdr>
          <w:divsChild>
            <w:div w:id="296228426">
              <w:marLeft w:val="0"/>
              <w:marRight w:val="0"/>
              <w:marTop w:val="0"/>
              <w:marBottom w:val="0"/>
              <w:divBdr>
                <w:top w:val="none" w:sz="0" w:space="0" w:color="auto"/>
                <w:left w:val="none" w:sz="0" w:space="0" w:color="auto"/>
                <w:bottom w:val="none" w:sz="0" w:space="0" w:color="auto"/>
                <w:right w:val="none" w:sz="0" w:space="0" w:color="auto"/>
              </w:divBdr>
            </w:div>
          </w:divsChild>
        </w:div>
        <w:div w:id="859271860">
          <w:marLeft w:val="0"/>
          <w:marRight w:val="0"/>
          <w:marTop w:val="0"/>
          <w:marBottom w:val="0"/>
          <w:divBdr>
            <w:top w:val="none" w:sz="0" w:space="0" w:color="auto"/>
            <w:left w:val="none" w:sz="0" w:space="0" w:color="auto"/>
            <w:bottom w:val="none" w:sz="0" w:space="0" w:color="auto"/>
            <w:right w:val="none" w:sz="0" w:space="0" w:color="auto"/>
          </w:divBdr>
          <w:divsChild>
            <w:div w:id="1640843737">
              <w:marLeft w:val="0"/>
              <w:marRight w:val="0"/>
              <w:marTop w:val="0"/>
              <w:marBottom w:val="0"/>
              <w:divBdr>
                <w:top w:val="none" w:sz="0" w:space="0" w:color="auto"/>
                <w:left w:val="none" w:sz="0" w:space="0" w:color="auto"/>
                <w:bottom w:val="none" w:sz="0" w:space="0" w:color="auto"/>
                <w:right w:val="none" w:sz="0" w:space="0" w:color="auto"/>
              </w:divBdr>
            </w:div>
          </w:divsChild>
        </w:div>
        <w:div w:id="1826123056">
          <w:marLeft w:val="0"/>
          <w:marRight w:val="0"/>
          <w:marTop w:val="0"/>
          <w:marBottom w:val="0"/>
          <w:divBdr>
            <w:top w:val="none" w:sz="0" w:space="0" w:color="auto"/>
            <w:left w:val="none" w:sz="0" w:space="0" w:color="auto"/>
            <w:bottom w:val="none" w:sz="0" w:space="0" w:color="auto"/>
            <w:right w:val="none" w:sz="0" w:space="0" w:color="auto"/>
          </w:divBdr>
          <w:divsChild>
            <w:div w:id="4508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1674">
      <w:bodyDiv w:val="1"/>
      <w:marLeft w:val="0"/>
      <w:marRight w:val="0"/>
      <w:marTop w:val="0"/>
      <w:marBottom w:val="0"/>
      <w:divBdr>
        <w:top w:val="none" w:sz="0" w:space="0" w:color="auto"/>
        <w:left w:val="none" w:sz="0" w:space="0" w:color="auto"/>
        <w:bottom w:val="none" w:sz="0" w:space="0" w:color="auto"/>
        <w:right w:val="none" w:sz="0" w:space="0" w:color="auto"/>
      </w:divBdr>
    </w:div>
    <w:div w:id="286396149">
      <w:bodyDiv w:val="1"/>
      <w:marLeft w:val="0"/>
      <w:marRight w:val="0"/>
      <w:marTop w:val="0"/>
      <w:marBottom w:val="0"/>
      <w:divBdr>
        <w:top w:val="none" w:sz="0" w:space="0" w:color="auto"/>
        <w:left w:val="none" w:sz="0" w:space="0" w:color="auto"/>
        <w:bottom w:val="none" w:sz="0" w:space="0" w:color="auto"/>
        <w:right w:val="none" w:sz="0" w:space="0" w:color="auto"/>
      </w:divBdr>
    </w:div>
    <w:div w:id="464660147">
      <w:bodyDiv w:val="1"/>
      <w:marLeft w:val="0"/>
      <w:marRight w:val="0"/>
      <w:marTop w:val="0"/>
      <w:marBottom w:val="0"/>
      <w:divBdr>
        <w:top w:val="none" w:sz="0" w:space="0" w:color="auto"/>
        <w:left w:val="none" w:sz="0" w:space="0" w:color="auto"/>
        <w:bottom w:val="none" w:sz="0" w:space="0" w:color="auto"/>
        <w:right w:val="none" w:sz="0" w:space="0" w:color="auto"/>
      </w:divBdr>
      <w:divsChild>
        <w:div w:id="464279959">
          <w:marLeft w:val="0"/>
          <w:marRight w:val="0"/>
          <w:marTop w:val="216"/>
          <w:marBottom w:val="0"/>
          <w:divBdr>
            <w:top w:val="none" w:sz="0" w:space="0" w:color="auto"/>
            <w:left w:val="none" w:sz="0" w:space="0" w:color="auto"/>
            <w:bottom w:val="none" w:sz="0" w:space="0" w:color="auto"/>
            <w:right w:val="none" w:sz="0" w:space="0" w:color="auto"/>
          </w:divBdr>
        </w:div>
      </w:divsChild>
    </w:div>
    <w:div w:id="486676944">
      <w:bodyDiv w:val="1"/>
      <w:marLeft w:val="0"/>
      <w:marRight w:val="0"/>
      <w:marTop w:val="0"/>
      <w:marBottom w:val="0"/>
      <w:divBdr>
        <w:top w:val="none" w:sz="0" w:space="0" w:color="auto"/>
        <w:left w:val="none" w:sz="0" w:space="0" w:color="auto"/>
        <w:bottom w:val="none" w:sz="0" w:space="0" w:color="auto"/>
        <w:right w:val="none" w:sz="0" w:space="0" w:color="auto"/>
      </w:divBdr>
    </w:div>
    <w:div w:id="581335965">
      <w:bodyDiv w:val="1"/>
      <w:marLeft w:val="0"/>
      <w:marRight w:val="0"/>
      <w:marTop w:val="0"/>
      <w:marBottom w:val="0"/>
      <w:divBdr>
        <w:top w:val="none" w:sz="0" w:space="0" w:color="auto"/>
        <w:left w:val="none" w:sz="0" w:space="0" w:color="auto"/>
        <w:bottom w:val="none" w:sz="0" w:space="0" w:color="auto"/>
        <w:right w:val="none" w:sz="0" w:space="0" w:color="auto"/>
      </w:divBdr>
    </w:div>
    <w:div w:id="668605871">
      <w:bodyDiv w:val="1"/>
      <w:marLeft w:val="0"/>
      <w:marRight w:val="0"/>
      <w:marTop w:val="0"/>
      <w:marBottom w:val="0"/>
      <w:divBdr>
        <w:top w:val="none" w:sz="0" w:space="0" w:color="auto"/>
        <w:left w:val="none" w:sz="0" w:space="0" w:color="auto"/>
        <w:bottom w:val="none" w:sz="0" w:space="0" w:color="auto"/>
        <w:right w:val="none" w:sz="0" w:space="0" w:color="auto"/>
      </w:divBdr>
      <w:divsChild>
        <w:div w:id="10186467">
          <w:marLeft w:val="0"/>
          <w:marRight w:val="0"/>
          <w:marTop w:val="0"/>
          <w:marBottom w:val="0"/>
          <w:divBdr>
            <w:top w:val="none" w:sz="0" w:space="0" w:color="auto"/>
            <w:left w:val="none" w:sz="0" w:space="0" w:color="auto"/>
            <w:bottom w:val="none" w:sz="0" w:space="0" w:color="auto"/>
            <w:right w:val="none" w:sz="0" w:space="0" w:color="auto"/>
          </w:divBdr>
          <w:divsChild>
            <w:div w:id="862941562">
              <w:marLeft w:val="0"/>
              <w:marRight w:val="0"/>
              <w:marTop w:val="0"/>
              <w:marBottom w:val="0"/>
              <w:divBdr>
                <w:top w:val="none" w:sz="0" w:space="0" w:color="auto"/>
                <w:left w:val="none" w:sz="0" w:space="0" w:color="auto"/>
                <w:bottom w:val="none" w:sz="0" w:space="0" w:color="auto"/>
                <w:right w:val="none" w:sz="0" w:space="0" w:color="auto"/>
              </w:divBdr>
            </w:div>
          </w:divsChild>
        </w:div>
        <w:div w:id="1371683411">
          <w:marLeft w:val="0"/>
          <w:marRight w:val="0"/>
          <w:marTop w:val="0"/>
          <w:marBottom w:val="0"/>
          <w:divBdr>
            <w:top w:val="none" w:sz="0" w:space="0" w:color="auto"/>
            <w:left w:val="none" w:sz="0" w:space="0" w:color="auto"/>
            <w:bottom w:val="none" w:sz="0" w:space="0" w:color="auto"/>
            <w:right w:val="none" w:sz="0" w:space="0" w:color="auto"/>
          </w:divBdr>
          <w:divsChild>
            <w:div w:id="2031947919">
              <w:marLeft w:val="0"/>
              <w:marRight w:val="0"/>
              <w:marTop w:val="0"/>
              <w:marBottom w:val="0"/>
              <w:divBdr>
                <w:top w:val="none" w:sz="0" w:space="0" w:color="auto"/>
                <w:left w:val="none" w:sz="0" w:space="0" w:color="auto"/>
                <w:bottom w:val="none" w:sz="0" w:space="0" w:color="auto"/>
                <w:right w:val="none" w:sz="0" w:space="0" w:color="auto"/>
              </w:divBdr>
            </w:div>
          </w:divsChild>
        </w:div>
        <w:div w:id="2033914816">
          <w:marLeft w:val="0"/>
          <w:marRight w:val="0"/>
          <w:marTop w:val="0"/>
          <w:marBottom w:val="0"/>
          <w:divBdr>
            <w:top w:val="none" w:sz="0" w:space="0" w:color="auto"/>
            <w:left w:val="none" w:sz="0" w:space="0" w:color="auto"/>
            <w:bottom w:val="none" w:sz="0" w:space="0" w:color="auto"/>
            <w:right w:val="none" w:sz="0" w:space="0" w:color="auto"/>
          </w:divBdr>
          <w:divsChild>
            <w:div w:id="282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5554">
      <w:bodyDiv w:val="1"/>
      <w:marLeft w:val="0"/>
      <w:marRight w:val="0"/>
      <w:marTop w:val="0"/>
      <w:marBottom w:val="0"/>
      <w:divBdr>
        <w:top w:val="none" w:sz="0" w:space="0" w:color="auto"/>
        <w:left w:val="none" w:sz="0" w:space="0" w:color="auto"/>
        <w:bottom w:val="none" w:sz="0" w:space="0" w:color="auto"/>
        <w:right w:val="none" w:sz="0" w:space="0" w:color="auto"/>
      </w:divBdr>
      <w:divsChild>
        <w:div w:id="1038968710">
          <w:marLeft w:val="0"/>
          <w:marRight w:val="0"/>
          <w:marTop w:val="0"/>
          <w:marBottom w:val="0"/>
          <w:divBdr>
            <w:top w:val="none" w:sz="0" w:space="0" w:color="auto"/>
            <w:left w:val="none" w:sz="0" w:space="0" w:color="auto"/>
            <w:bottom w:val="none" w:sz="0" w:space="0" w:color="auto"/>
            <w:right w:val="none" w:sz="0" w:space="0" w:color="auto"/>
          </w:divBdr>
          <w:divsChild>
            <w:div w:id="503593883">
              <w:marLeft w:val="0"/>
              <w:marRight w:val="0"/>
              <w:marTop w:val="0"/>
              <w:marBottom w:val="0"/>
              <w:divBdr>
                <w:top w:val="none" w:sz="0" w:space="0" w:color="auto"/>
                <w:left w:val="none" w:sz="0" w:space="0" w:color="auto"/>
                <w:bottom w:val="none" w:sz="0" w:space="0" w:color="auto"/>
                <w:right w:val="none" w:sz="0" w:space="0" w:color="auto"/>
              </w:divBdr>
            </w:div>
          </w:divsChild>
        </w:div>
        <w:div w:id="1656952586">
          <w:marLeft w:val="0"/>
          <w:marRight w:val="0"/>
          <w:marTop w:val="0"/>
          <w:marBottom w:val="0"/>
          <w:divBdr>
            <w:top w:val="none" w:sz="0" w:space="0" w:color="auto"/>
            <w:left w:val="none" w:sz="0" w:space="0" w:color="auto"/>
            <w:bottom w:val="none" w:sz="0" w:space="0" w:color="auto"/>
            <w:right w:val="none" w:sz="0" w:space="0" w:color="auto"/>
          </w:divBdr>
          <w:divsChild>
            <w:div w:id="2440155">
              <w:marLeft w:val="0"/>
              <w:marRight w:val="0"/>
              <w:marTop w:val="0"/>
              <w:marBottom w:val="0"/>
              <w:divBdr>
                <w:top w:val="none" w:sz="0" w:space="0" w:color="auto"/>
                <w:left w:val="none" w:sz="0" w:space="0" w:color="auto"/>
                <w:bottom w:val="none" w:sz="0" w:space="0" w:color="auto"/>
                <w:right w:val="none" w:sz="0" w:space="0" w:color="auto"/>
              </w:divBdr>
            </w:div>
          </w:divsChild>
        </w:div>
        <w:div w:id="1768193447">
          <w:marLeft w:val="0"/>
          <w:marRight w:val="0"/>
          <w:marTop w:val="0"/>
          <w:marBottom w:val="0"/>
          <w:divBdr>
            <w:top w:val="none" w:sz="0" w:space="0" w:color="auto"/>
            <w:left w:val="none" w:sz="0" w:space="0" w:color="auto"/>
            <w:bottom w:val="none" w:sz="0" w:space="0" w:color="auto"/>
            <w:right w:val="none" w:sz="0" w:space="0" w:color="auto"/>
          </w:divBdr>
          <w:divsChild>
            <w:div w:id="15852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1120">
      <w:bodyDiv w:val="1"/>
      <w:marLeft w:val="0"/>
      <w:marRight w:val="0"/>
      <w:marTop w:val="0"/>
      <w:marBottom w:val="0"/>
      <w:divBdr>
        <w:top w:val="none" w:sz="0" w:space="0" w:color="auto"/>
        <w:left w:val="none" w:sz="0" w:space="0" w:color="auto"/>
        <w:bottom w:val="none" w:sz="0" w:space="0" w:color="auto"/>
        <w:right w:val="none" w:sz="0" w:space="0" w:color="auto"/>
      </w:divBdr>
      <w:divsChild>
        <w:div w:id="2076783601">
          <w:marLeft w:val="0"/>
          <w:marRight w:val="0"/>
          <w:marTop w:val="216"/>
          <w:marBottom w:val="0"/>
          <w:divBdr>
            <w:top w:val="none" w:sz="0" w:space="0" w:color="auto"/>
            <w:left w:val="none" w:sz="0" w:space="0" w:color="auto"/>
            <w:bottom w:val="none" w:sz="0" w:space="0" w:color="auto"/>
            <w:right w:val="none" w:sz="0" w:space="0" w:color="auto"/>
          </w:divBdr>
        </w:div>
      </w:divsChild>
    </w:div>
    <w:div w:id="1013609723">
      <w:bodyDiv w:val="1"/>
      <w:marLeft w:val="0"/>
      <w:marRight w:val="0"/>
      <w:marTop w:val="0"/>
      <w:marBottom w:val="0"/>
      <w:divBdr>
        <w:top w:val="none" w:sz="0" w:space="0" w:color="auto"/>
        <w:left w:val="none" w:sz="0" w:space="0" w:color="auto"/>
        <w:bottom w:val="none" w:sz="0" w:space="0" w:color="auto"/>
        <w:right w:val="none" w:sz="0" w:space="0" w:color="auto"/>
      </w:divBdr>
    </w:div>
    <w:div w:id="1088889459">
      <w:bodyDiv w:val="1"/>
      <w:marLeft w:val="0"/>
      <w:marRight w:val="0"/>
      <w:marTop w:val="0"/>
      <w:marBottom w:val="0"/>
      <w:divBdr>
        <w:top w:val="none" w:sz="0" w:space="0" w:color="auto"/>
        <w:left w:val="none" w:sz="0" w:space="0" w:color="auto"/>
        <w:bottom w:val="none" w:sz="0" w:space="0" w:color="auto"/>
        <w:right w:val="none" w:sz="0" w:space="0" w:color="auto"/>
      </w:divBdr>
      <w:divsChild>
        <w:div w:id="17511653">
          <w:marLeft w:val="0"/>
          <w:marRight w:val="0"/>
          <w:marTop w:val="0"/>
          <w:marBottom w:val="0"/>
          <w:divBdr>
            <w:top w:val="none" w:sz="0" w:space="0" w:color="auto"/>
            <w:left w:val="none" w:sz="0" w:space="0" w:color="auto"/>
            <w:bottom w:val="none" w:sz="0" w:space="0" w:color="auto"/>
            <w:right w:val="none" w:sz="0" w:space="0" w:color="auto"/>
          </w:divBdr>
          <w:divsChild>
            <w:div w:id="345638555">
              <w:marLeft w:val="0"/>
              <w:marRight w:val="0"/>
              <w:marTop w:val="0"/>
              <w:marBottom w:val="0"/>
              <w:divBdr>
                <w:top w:val="none" w:sz="0" w:space="0" w:color="auto"/>
                <w:left w:val="none" w:sz="0" w:space="0" w:color="auto"/>
                <w:bottom w:val="none" w:sz="0" w:space="0" w:color="auto"/>
                <w:right w:val="none" w:sz="0" w:space="0" w:color="auto"/>
              </w:divBdr>
            </w:div>
          </w:divsChild>
        </w:div>
        <w:div w:id="300765702">
          <w:marLeft w:val="0"/>
          <w:marRight w:val="0"/>
          <w:marTop w:val="0"/>
          <w:marBottom w:val="0"/>
          <w:divBdr>
            <w:top w:val="none" w:sz="0" w:space="0" w:color="auto"/>
            <w:left w:val="none" w:sz="0" w:space="0" w:color="auto"/>
            <w:bottom w:val="none" w:sz="0" w:space="0" w:color="auto"/>
            <w:right w:val="none" w:sz="0" w:space="0" w:color="auto"/>
          </w:divBdr>
          <w:divsChild>
            <w:div w:id="1380862168">
              <w:marLeft w:val="0"/>
              <w:marRight w:val="0"/>
              <w:marTop w:val="0"/>
              <w:marBottom w:val="0"/>
              <w:divBdr>
                <w:top w:val="none" w:sz="0" w:space="0" w:color="auto"/>
                <w:left w:val="none" w:sz="0" w:space="0" w:color="auto"/>
                <w:bottom w:val="none" w:sz="0" w:space="0" w:color="auto"/>
                <w:right w:val="none" w:sz="0" w:space="0" w:color="auto"/>
              </w:divBdr>
            </w:div>
          </w:divsChild>
        </w:div>
        <w:div w:id="956983364">
          <w:marLeft w:val="0"/>
          <w:marRight w:val="0"/>
          <w:marTop w:val="0"/>
          <w:marBottom w:val="0"/>
          <w:divBdr>
            <w:top w:val="none" w:sz="0" w:space="0" w:color="auto"/>
            <w:left w:val="none" w:sz="0" w:space="0" w:color="auto"/>
            <w:bottom w:val="none" w:sz="0" w:space="0" w:color="auto"/>
            <w:right w:val="none" w:sz="0" w:space="0" w:color="auto"/>
          </w:divBdr>
          <w:divsChild>
            <w:div w:id="12762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7818">
      <w:bodyDiv w:val="1"/>
      <w:marLeft w:val="0"/>
      <w:marRight w:val="0"/>
      <w:marTop w:val="0"/>
      <w:marBottom w:val="0"/>
      <w:divBdr>
        <w:top w:val="none" w:sz="0" w:space="0" w:color="auto"/>
        <w:left w:val="none" w:sz="0" w:space="0" w:color="auto"/>
        <w:bottom w:val="none" w:sz="0" w:space="0" w:color="auto"/>
        <w:right w:val="none" w:sz="0" w:space="0" w:color="auto"/>
      </w:divBdr>
    </w:div>
    <w:div w:id="1239292493">
      <w:bodyDiv w:val="1"/>
      <w:marLeft w:val="0"/>
      <w:marRight w:val="0"/>
      <w:marTop w:val="0"/>
      <w:marBottom w:val="0"/>
      <w:divBdr>
        <w:top w:val="none" w:sz="0" w:space="0" w:color="auto"/>
        <w:left w:val="none" w:sz="0" w:space="0" w:color="auto"/>
        <w:bottom w:val="none" w:sz="0" w:space="0" w:color="auto"/>
        <w:right w:val="none" w:sz="0" w:space="0" w:color="auto"/>
      </w:divBdr>
    </w:div>
    <w:div w:id="1755279098">
      <w:bodyDiv w:val="1"/>
      <w:marLeft w:val="0"/>
      <w:marRight w:val="0"/>
      <w:marTop w:val="0"/>
      <w:marBottom w:val="0"/>
      <w:divBdr>
        <w:top w:val="none" w:sz="0" w:space="0" w:color="auto"/>
        <w:left w:val="none" w:sz="0" w:space="0" w:color="auto"/>
        <w:bottom w:val="none" w:sz="0" w:space="0" w:color="auto"/>
        <w:right w:val="none" w:sz="0" w:space="0" w:color="auto"/>
      </w:divBdr>
    </w:div>
    <w:div w:id="1816793376">
      <w:bodyDiv w:val="1"/>
      <w:marLeft w:val="0"/>
      <w:marRight w:val="0"/>
      <w:marTop w:val="0"/>
      <w:marBottom w:val="0"/>
      <w:divBdr>
        <w:top w:val="none" w:sz="0" w:space="0" w:color="auto"/>
        <w:left w:val="none" w:sz="0" w:space="0" w:color="auto"/>
        <w:bottom w:val="none" w:sz="0" w:space="0" w:color="auto"/>
        <w:right w:val="none" w:sz="0" w:space="0" w:color="auto"/>
      </w:divBdr>
    </w:div>
    <w:div w:id="1832257645">
      <w:bodyDiv w:val="1"/>
      <w:marLeft w:val="0"/>
      <w:marRight w:val="0"/>
      <w:marTop w:val="0"/>
      <w:marBottom w:val="0"/>
      <w:divBdr>
        <w:top w:val="none" w:sz="0" w:space="0" w:color="auto"/>
        <w:left w:val="none" w:sz="0" w:space="0" w:color="auto"/>
        <w:bottom w:val="none" w:sz="0" w:space="0" w:color="auto"/>
        <w:right w:val="none" w:sz="0" w:space="0" w:color="auto"/>
      </w:divBdr>
    </w:div>
    <w:div w:id="2075426575">
      <w:bodyDiv w:val="1"/>
      <w:marLeft w:val="0"/>
      <w:marRight w:val="0"/>
      <w:marTop w:val="0"/>
      <w:marBottom w:val="0"/>
      <w:divBdr>
        <w:top w:val="none" w:sz="0" w:space="0" w:color="auto"/>
        <w:left w:val="none" w:sz="0" w:space="0" w:color="auto"/>
        <w:bottom w:val="none" w:sz="0" w:space="0" w:color="auto"/>
        <w:right w:val="none" w:sz="0" w:space="0" w:color="auto"/>
      </w:divBdr>
    </w:div>
    <w:div w:id="21109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rvice-bw.de/zufi/leistungen/6016849" TargetMode="External"/><Relationship Id="rId18" Type="http://schemas.openxmlformats.org/officeDocument/2006/relationships/hyperlink" Target="https://gewerbeaufsicht.baden-wuerttemberg.de/documents/20121/72110/Schreiben_-_Urteil_VGH_WEA_UVP_u_WUG_2025.pdf" TargetMode="External"/><Relationship Id="rId26" Type="http://schemas.openxmlformats.org/officeDocument/2006/relationships/hyperlink" Target="https://beck-online.beck.de/?typ=reference&amp;y=100&amp;g=BAUGB&amp;p=35&amp;x=5" TargetMode="External"/><Relationship Id="rId3" Type="http://schemas.openxmlformats.org/officeDocument/2006/relationships/numbering" Target="numbering.xml"/><Relationship Id="rId21" Type="http://schemas.openxmlformats.org/officeDocument/2006/relationships/hyperlink" Target="https://gewerbeaufsicht.baden-wuerttemberg.de/documents/20121/72110/Windenergieausbau_im_Wald-Befristete_Waldumwandlungsgenehmigungen_-_17-01-2024.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gewerbeaufsicht.baden-wuerttemberg.de/documents/20121/72110/Checkliste_Antragsunterlagen_fuer_Anlagen_zur_Nutzung_von_Windenergie.pdf" TargetMode="External"/><Relationship Id="rId17" Type="http://schemas.openxmlformats.org/officeDocument/2006/relationships/hyperlink" Target="https://gewerbeaufsicht.baden-wuerttemberg.de/documents/20121/67005/Verfahrenshandbuch_Biogasanlage.pdf" TargetMode="External"/><Relationship Id="rId25" Type="http://schemas.openxmlformats.org/officeDocument/2006/relationships/hyperlink" Target="https://beck-online.beck.de/?typ=reference&amp;y=100&amp;g=BAUGB&amp;p=3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ewerbeaufsicht.baden-wuerttemberg.de/themenportal-windenergie" TargetMode="External"/><Relationship Id="rId20" Type="http://schemas.openxmlformats.org/officeDocument/2006/relationships/hyperlink" Target="https://www.bmwk.de/Redaktion/DE/Downloads/V/vollzugsleitfaden-6-windbg.pdf?__blob=publicationFile&amp;v=2" TargetMode="External"/><Relationship Id="rId29" Type="http://schemas.openxmlformats.org/officeDocument/2006/relationships/hyperlink" Target="https://um.baden-wuerttemberg.de/fileadmin/redaktion/m-um/intern/Dateien/Dokumente/2_Presse_und_Service/Publikationen/Umwelt/BImschG-Genehmigungsleitfaden/Leitfaden-Genehmigungsverfahren-202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i-immissionsschutz.de/" TargetMode="External"/><Relationship Id="rId24" Type="http://schemas.openxmlformats.org/officeDocument/2006/relationships/hyperlink" Target="https://www.lai-immissionsschutz.de/documents/vollzugshinweise-bimschg-novelle-03-2025_2_1744289637.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ervice-bw.de/zufi/leistungen/6010909" TargetMode="External"/><Relationship Id="rId23" Type="http://schemas.openxmlformats.org/officeDocument/2006/relationships/hyperlink" Target="https://um.baden-wuerttemberg.de/fileadmin/redaktion/m-um/intern/Dateien/Dokumente/2_Presse_und_Service/Publikationen/Umwelt/BImschG-Genehmigungsleitfaden/Anlage_7_Checkliste_Traeger_08-2018.pdf" TargetMode="External"/><Relationship Id="rId28" Type="http://schemas.openxmlformats.org/officeDocument/2006/relationships/hyperlink" Target="https://www.lai-immissionsschutz.de/documents/vollzugshinweise-vollstaendigkeitspruefung-und-nachreichen-von-unterlagen-03-2025_2_1744289343.pdf" TargetMode="External"/><Relationship Id="rId36" Type="http://schemas.openxmlformats.org/officeDocument/2006/relationships/fontTable" Target="fontTable.xml"/><Relationship Id="rId10" Type="http://schemas.openxmlformats.org/officeDocument/2006/relationships/hyperlink" Target="https://gewerbeaufsicht.baden-wuerttemberg.de/themenportal-windenergie" TargetMode="External"/><Relationship Id="rId19" Type="http://schemas.openxmlformats.org/officeDocument/2006/relationships/hyperlink" Target="https://gewerbeaufsicht.baden-wuerttemberg.de/documents/20121/428654/Hinweise_zum_Bau_von_Windenergieanlagen_im_Wald.pdf"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um.baden-wuerttemberg.de/fileadmin/redaktion/m-um/intern/Dateien/Dokumente/2_Presse_und_Service/Publikationen/Umwelt/BImschG-Genehmigungsleitfaden/Leitfaden-Genehmigungsverfahren-2025.pdf" TargetMode="External"/><Relationship Id="rId14" Type="http://schemas.openxmlformats.org/officeDocument/2006/relationships/hyperlink" Target="https://gewerbeaufsicht.baden-wuerttemberg.de/documents/20121/72110/Struktur+und+Uploadfelder+BImSchG-Antrag.xlsx" TargetMode="External"/><Relationship Id="rId22" Type="http://schemas.openxmlformats.org/officeDocument/2006/relationships/hyperlink" Target="https://gewerbeaufsicht.baden-wuerttemberg.de/documents/20121/72110/FAQ_Befristung_Waldumwandlung_WEA.pdf/c974c270-7f19-d6ae-6c22-e9c91446cb44?t=1750071249128" TargetMode="External"/><Relationship Id="rId27" Type="http://schemas.openxmlformats.org/officeDocument/2006/relationships/hyperlink" Target="https://www.baf.bund.de/DE/Themen/Flugsicherungstechnik/Anlagenschutz/anlagenschutz_kartentool.html"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UM_Tabelle_Spaltenüberschrift_Arial12pt-fett">
      <c:property id="RoleID" type="string">ParagraphHeaderCell</c:property>
      <c:property id="Scope" type="integer">1</c:property>
    </c:group>
    <c:group id="UM_Tabelle_Zeilenüberschrift_Arial12pt-fett">
      <c:property id="RoleID" type="string">ParagraphHeaderCell</c:property>
      <c:property id="Scope" type="integer">2</c:property>
    </c:group>
    <c:group id="UM_Liste_Fortsetzung_Arial-12pt">
      <c:property id="RoleID" type="string">ParagraphListContinue</c:property>
    </c:group>
    <c:group id="UM_Tabellenbeschriftung">
      <c:property id="RoleID" type="string">ParagraphCaption</c:property>
    </c:group>
    <c:group id="UM_Beschriftung_Abbildung_Arial-kursiv_9pt">
      <c:property id="RoleID" type="string">ParagraphCaption</c:property>
    </c:group>
    <c:group id="UM_Überschrift_Arial12pt">
      <c:property id="RoleID" type="string">ParagraphHeading</c:property>
    </c:group>
    <c:group id="UM_Überschrift1_numm_Arial-fett_12pt">
      <c:property id="RoleID" type="string">ParagraphHeading</c:property>
    </c:group>
    <c:group id="UM_Überschrift2_Arial-12pt">
      <c:property id="RoleID" type="string">ParagraphHeading</c:property>
    </c:group>
    <c:group id="UM_Überschrift3_Arial-numm">
      <c:property id="RoleID" type="string">ParagraphHeading</c:property>
    </c:group>
    <c:group id="UM_Überschrift4_Arial_num">
      <c:property id="RoleID" type="string">ParagraphHeading</c:property>
    </c:group>
    <c:group id="UM_Überschrift-mittig_fett-Arial_12pt">
      <c:property id="RoleID" type="string">ParagraphHeading</c:property>
    </c:group>
  </c:group>
  <c:group id="Content">
    <c:group id="befcaace-3e7e-4b5e-a3c6-6e2b6ff078a2">
      <c:property id="RoleID" type="string">TableLayoutTable</c:property>
    </c:group>
    <c:group id="0a2b0ed6-4d44-40ec-a6d9-2c3e92db9074">
      <c:property id="RoleID" type="string">FigureArtifact</c:property>
    </c:group>
    <c:group id="8ee2c3a5-49df-4eb4-8fd6-67d02a2047af">
      <c:property id="RoleID" type="string">TableLayoutTable</c:property>
    </c:group>
    <c:group id="2765935b-9b74-43fb-84c4-3f0ff52113db">
      <c:property id="RoleID" type="string">TableTable</c:property>
    </c:group>
  </c:group>
  <c:group id="InitialView">
    <c:property id="MagnificationFactor" type="float">100</c:property>
  </c:group>
</c:configuration>
</file>

<file path=customXml/itemProps1.xml><?xml version="1.0" encoding="utf-8"?>
<ds:datastoreItem xmlns:ds="http://schemas.openxmlformats.org/officeDocument/2006/customXml" ds:itemID="{5E14435A-3950-4E42-ADCA-1FF14927C58B}">
  <ds:schemaRefs>
    <ds:schemaRef ds:uri="http://schemas.openxmlformats.org/officeDocument/2006/bibliography"/>
  </ds:schemaRefs>
</ds:datastoreItem>
</file>

<file path=customXml/itemProps2.xml><?xml version="1.0" encoding="utf-8"?>
<ds:datastoreItem xmlns:ds="http://schemas.openxmlformats.org/officeDocument/2006/customXml" ds:itemID="{7C19B16E-66AE-4D4C-920F-FA85677DD1E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7360</Words>
  <Characters>54878</Characters>
  <Application>Microsoft Office Word</Application>
  <DocSecurity>0</DocSecurity>
  <Lines>457</Lines>
  <Paragraphs>124</Paragraphs>
  <ScaleCrop>false</ScaleCrop>
  <HeadingPairs>
    <vt:vector size="2" baseType="variant">
      <vt:variant>
        <vt:lpstr>Titel</vt:lpstr>
      </vt:variant>
      <vt:variant>
        <vt:i4>1</vt:i4>
      </vt:variant>
    </vt:vector>
  </HeadingPairs>
  <TitlesOfParts>
    <vt:vector size="1" baseType="lpstr">
      <vt:lpstr>2026-05-28 Verfahrensleitfaden (002).docx</vt:lpstr>
    </vt:vector>
  </TitlesOfParts>
  <Manager/>
  <Company/>
  <LinksUpToDate>false</LinksUpToDate>
  <CharactersWithSpaces>62114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PRAXISLEITFADEN „VERFAHRENSSCHRITTE IN GENEHMIGUNGSVERFAH-REN VON WINDENERGIEANLAGEN</dc:title>
  <dc:subject/>
  <dc:creator/>
  <cp:keywords/>
  <dc:description/>
  <cp:lastModifiedBy/>
  <cp:revision>1</cp:revision>
  <dcterms:created xsi:type="dcterms:W3CDTF">2026-06-02T12:56:00Z</dcterms:created>
  <dcterms:modified xsi:type="dcterms:W3CDTF">2026-06-02T13:26:00Z</dcterms:modified>
</cp:coreProperties>
</file>